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CF" w:rsidRPr="00F17CEB" w:rsidRDefault="002108CF" w:rsidP="006E0421">
      <w:pPr>
        <w:pStyle w:val="a6"/>
        <w:jc w:val="center"/>
      </w:pPr>
      <w:proofErr w:type="gramStart"/>
      <w:r w:rsidRPr="00F17CEB">
        <w:rPr>
          <w:rFonts w:ascii="標楷體" w:eastAsia="標楷體" w:hAnsi="標楷體" w:cs="標楷體" w:hint="eastAsia"/>
          <w:kern w:val="0"/>
          <w:sz w:val="40"/>
          <w:szCs w:val="40"/>
        </w:rPr>
        <w:t>臺</w:t>
      </w:r>
      <w:proofErr w:type="gramEnd"/>
      <w:r w:rsidRPr="00F17CEB">
        <w:rPr>
          <w:rFonts w:ascii="標楷體" w:eastAsia="標楷體" w:hAnsi="標楷體" w:cs="標楷體" w:hint="eastAsia"/>
          <w:kern w:val="0"/>
          <w:sz w:val="40"/>
          <w:szCs w:val="40"/>
        </w:rPr>
        <w:t>中市垃圾處理場所回饋地方自治條例</w:t>
      </w:r>
      <w:r w:rsidR="00527752">
        <w:rPr>
          <w:rFonts w:ascii="標楷體" w:eastAsia="標楷體" w:hAnsi="標楷體" w:cs="標楷體" w:hint="eastAsia"/>
          <w:kern w:val="0"/>
          <w:sz w:val="40"/>
          <w:szCs w:val="40"/>
        </w:rPr>
        <w:t>修正</w:t>
      </w:r>
      <w:r w:rsidRPr="00F17CEB">
        <w:rPr>
          <w:rFonts w:ascii="標楷體" w:eastAsia="標楷體" w:hAnsi="標楷體" w:cs="標楷體" w:hint="eastAsia"/>
          <w:kern w:val="0"/>
          <w:sz w:val="40"/>
          <w:szCs w:val="40"/>
        </w:rPr>
        <w:t>草案</w:t>
      </w:r>
      <w:r w:rsidR="00527752">
        <w:rPr>
          <w:rFonts w:ascii="標楷體" w:eastAsia="標楷體" w:hAnsi="標楷體" w:cs="標楷體" w:hint="eastAsia"/>
          <w:kern w:val="0"/>
          <w:sz w:val="40"/>
          <w:szCs w:val="40"/>
        </w:rPr>
        <w:t>條文</w:t>
      </w:r>
    </w:p>
    <w:p w:rsidR="002108CF" w:rsidRPr="00F17CEB" w:rsidRDefault="002108CF" w:rsidP="003626BC">
      <w:pPr>
        <w:spacing w:beforeLines="50" w:line="460" w:lineRule="exact"/>
        <w:ind w:left="360" w:hanging="360"/>
        <w:rPr>
          <w:rFonts w:ascii="標楷體" w:eastAsia="標楷體" w:hAnsi="標楷體"/>
          <w:kern w:val="0"/>
          <w:sz w:val="28"/>
          <w:szCs w:val="28"/>
        </w:rPr>
      </w:pPr>
      <w:r w:rsidRPr="00F17CEB">
        <w:rPr>
          <w:rFonts w:ascii="標楷體" w:eastAsia="標楷體" w:hAnsi="標楷體" w:cs="標楷體" w:hint="eastAsia"/>
          <w:kern w:val="0"/>
          <w:sz w:val="28"/>
          <w:szCs w:val="28"/>
        </w:rPr>
        <w:t>第五條　　垃圾處理場所回饋金來源及計算方式如下：</w:t>
      </w:r>
    </w:p>
    <w:p w:rsidR="002108CF" w:rsidRPr="00F17CEB" w:rsidRDefault="002108CF" w:rsidP="003626BC">
      <w:pPr>
        <w:tabs>
          <w:tab w:val="left" w:pos="1418"/>
        </w:tabs>
        <w:spacing w:beforeLines="50" w:line="460" w:lineRule="exact"/>
        <w:ind w:leftChars="100" w:left="800" w:hangingChars="200" w:hanging="560"/>
        <w:rPr>
          <w:rFonts w:ascii="標楷體" w:eastAsia="標楷體" w:hAnsi="標楷體"/>
          <w:kern w:val="0"/>
          <w:sz w:val="28"/>
          <w:szCs w:val="28"/>
        </w:rPr>
      </w:pPr>
      <w:r w:rsidRPr="00F17CEB">
        <w:rPr>
          <w:rFonts w:ascii="標楷體" w:eastAsia="標楷體" w:hAnsi="標楷體" w:cs="標楷體" w:hint="eastAsia"/>
          <w:kern w:val="0"/>
          <w:sz w:val="28"/>
          <w:szCs w:val="28"/>
        </w:rPr>
        <w:t xml:space="preserve">　　　　一、垃圾焚化廠：</w:t>
      </w:r>
    </w:p>
    <w:p w:rsidR="002108CF" w:rsidRPr="00F17CEB" w:rsidRDefault="002108CF" w:rsidP="001F3334">
      <w:pPr>
        <w:spacing w:line="460" w:lineRule="exact"/>
        <w:ind w:leftChars="150" w:left="1698" w:hangingChars="478" w:hanging="1338"/>
        <w:rPr>
          <w:rFonts w:ascii="標楷體" w:eastAsia="標楷體" w:hAnsi="標楷體"/>
          <w:kern w:val="0"/>
          <w:sz w:val="28"/>
          <w:szCs w:val="28"/>
        </w:rPr>
      </w:pPr>
      <w:r w:rsidRPr="00F17CEB">
        <w:rPr>
          <w:rFonts w:ascii="標楷體" w:eastAsia="標楷體" w:hAnsi="標楷體" w:cs="標楷體" w:hint="eastAsia"/>
          <w:kern w:val="0"/>
          <w:sz w:val="28"/>
          <w:szCs w:val="28"/>
        </w:rPr>
        <w:t xml:space="preserve">　　　　　</w:t>
      </w:r>
      <w:r w:rsidRPr="00F17CEB">
        <w:rPr>
          <w:rFonts w:ascii="標楷體" w:eastAsia="標楷體" w:hAnsi="標楷體" w:cs="標楷體"/>
          <w:kern w:val="0"/>
          <w:sz w:val="28"/>
          <w:szCs w:val="28"/>
        </w:rPr>
        <w:t>(</w:t>
      </w:r>
      <w:proofErr w:type="gramStart"/>
      <w:r w:rsidRPr="00F17CEB">
        <w:rPr>
          <w:rFonts w:ascii="標楷體" w:eastAsia="標楷體" w:hAnsi="標楷體" w:cs="標楷體" w:hint="eastAsia"/>
          <w:kern w:val="0"/>
          <w:sz w:val="28"/>
          <w:szCs w:val="28"/>
        </w:rPr>
        <w:t>一</w:t>
      </w:r>
      <w:proofErr w:type="gramEnd"/>
      <w:r w:rsidRPr="00F17CEB">
        <w:rPr>
          <w:rFonts w:ascii="標楷體" w:eastAsia="標楷體" w:hAnsi="標楷體" w:cs="標楷體"/>
          <w:kern w:val="0"/>
          <w:sz w:val="28"/>
          <w:szCs w:val="28"/>
        </w:rPr>
        <w:t>)</w:t>
      </w:r>
      <w:r w:rsidRPr="00F17CEB">
        <w:rPr>
          <w:rFonts w:ascii="標楷體" w:eastAsia="標楷體" w:hAnsi="標楷體" w:cs="標楷體" w:hint="eastAsia"/>
          <w:kern w:val="0"/>
          <w:sz w:val="28"/>
          <w:szCs w:val="28"/>
        </w:rPr>
        <w:t>垃圾進廠部分：</w:t>
      </w:r>
      <w:proofErr w:type="gramStart"/>
      <w:r w:rsidRPr="00F17CEB">
        <w:rPr>
          <w:rFonts w:ascii="標楷體" w:eastAsia="標楷體" w:hAnsi="標楷體" w:cs="標楷體" w:hint="eastAsia"/>
          <w:kern w:val="0"/>
          <w:sz w:val="28"/>
          <w:szCs w:val="28"/>
        </w:rPr>
        <w:t>依進廠</w:t>
      </w:r>
      <w:proofErr w:type="gramEnd"/>
      <w:r w:rsidRPr="00F17CEB">
        <w:rPr>
          <w:rFonts w:ascii="標楷體" w:eastAsia="標楷體" w:hAnsi="標楷體" w:cs="標楷體" w:hint="eastAsia"/>
          <w:kern w:val="0"/>
          <w:sz w:val="28"/>
          <w:szCs w:val="28"/>
        </w:rPr>
        <w:t>焚化之廢棄物量每公噸回饋金新</w:t>
      </w:r>
      <w:r w:rsidRPr="00F17CEB">
        <w:rPr>
          <w:rFonts w:ascii="標楷體" w:eastAsia="標楷體" w:hAnsi="標楷體" w:cs="標楷體"/>
          <w:kern w:val="0"/>
          <w:sz w:val="28"/>
          <w:szCs w:val="28"/>
        </w:rPr>
        <w:t xml:space="preserve">  </w:t>
      </w:r>
    </w:p>
    <w:p w:rsidR="002108CF" w:rsidRPr="00F17CEB" w:rsidRDefault="002108CF" w:rsidP="001F3334">
      <w:pPr>
        <w:spacing w:line="460" w:lineRule="exact"/>
        <w:ind w:leftChars="150" w:left="898" w:hangingChars="192" w:hanging="538"/>
        <w:rPr>
          <w:rFonts w:ascii="標楷體" w:eastAsia="標楷體" w:hAnsi="標楷體"/>
          <w:kern w:val="0"/>
          <w:sz w:val="28"/>
          <w:szCs w:val="28"/>
        </w:rPr>
      </w:pPr>
      <w:r w:rsidRPr="00F17CEB">
        <w:rPr>
          <w:rFonts w:ascii="標楷體" w:eastAsia="標楷體" w:hAnsi="標楷體" w:cs="標楷體" w:hint="eastAsia"/>
          <w:kern w:val="0"/>
          <w:sz w:val="28"/>
          <w:szCs w:val="28"/>
        </w:rPr>
        <w:t xml:space="preserve">　　　　　　　臺幣二百元。</w:t>
      </w:r>
    </w:p>
    <w:p w:rsidR="002108CF" w:rsidRPr="00F17CEB" w:rsidRDefault="002108CF" w:rsidP="003626BC">
      <w:pPr>
        <w:spacing w:beforeLines="50" w:line="460" w:lineRule="exact"/>
        <w:ind w:leftChars="750" w:left="2340" w:hangingChars="193" w:hanging="540"/>
        <w:rPr>
          <w:rFonts w:ascii="標楷體" w:eastAsia="標楷體" w:hAnsi="標楷體"/>
          <w:kern w:val="0"/>
          <w:sz w:val="28"/>
          <w:szCs w:val="28"/>
        </w:rPr>
      </w:pPr>
      <w:r w:rsidRPr="00F17CEB">
        <w:rPr>
          <w:rFonts w:ascii="標楷體" w:eastAsia="標楷體" w:hAnsi="標楷體" w:cs="標楷體"/>
          <w:kern w:val="0"/>
          <w:sz w:val="28"/>
          <w:szCs w:val="28"/>
        </w:rPr>
        <w:t>(</w:t>
      </w:r>
      <w:r w:rsidRPr="00F17CEB">
        <w:rPr>
          <w:rFonts w:ascii="標楷體" w:eastAsia="標楷體" w:hAnsi="標楷體" w:cs="標楷體" w:hint="eastAsia"/>
          <w:kern w:val="0"/>
          <w:sz w:val="28"/>
          <w:szCs w:val="28"/>
        </w:rPr>
        <w:t>二</w:t>
      </w:r>
      <w:r w:rsidRPr="00F17CEB">
        <w:rPr>
          <w:rFonts w:ascii="標楷體" w:eastAsia="標楷體" w:hAnsi="標楷體" w:cs="標楷體"/>
          <w:kern w:val="0"/>
          <w:sz w:val="28"/>
          <w:szCs w:val="28"/>
        </w:rPr>
        <w:t>)</w:t>
      </w:r>
      <w:r w:rsidRPr="00F17CEB">
        <w:rPr>
          <w:rFonts w:ascii="標楷體" w:eastAsia="標楷體" w:hAnsi="標楷體" w:cs="標楷體" w:hint="eastAsia"/>
          <w:kern w:val="0"/>
          <w:sz w:val="28"/>
          <w:szCs w:val="28"/>
        </w:rPr>
        <w:t>汽電共生部分：</w:t>
      </w:r>
      <w:r w:rsidRPr="00F17CEB">
        <w:rPr>
          <w:rFonts w:ascii="標楷體" w:eastAsia="標楷體" w:hAnsi="標楷體" w:cs="標楷體" w:hint="eastAsia"/>
          <w:sz w:val="28"/>
          <w:szCs w:val="28"/>
        </w:rPr>
        <w:t>每年應由上年度發電之售電收入</w:t>
      </w:r>
      <w:proofErr w:type="gramStart"/>
      <w:r w:rsidRPr="00F17CEB">
        <w:rPr>
          <w:rFonts w:ascii="標楷體" w:eastAsia="標楷體" w:hAnsi="標楷體" w:cs="標楷體" w:hint="eastAsia"/>
          <w:sz w:val="28"/>
          <w:szCs w:val="28"/>
        </w:rPr>
        <w:t>提撥</w:t>
      </w:r>
      <w:proofErr w:type="gramEnd"/>
      <w:r w:rsidRPr="00F17CEB">
        <w:rPr>
          <w:rFonts w:ascii="標楷體" w:eastAsia="標楷體" w:hAnsi="標楷體" w:cs="標楷體" w:hint="eastAsia"/>
          <w:sz w:val="28"/>
          <w:szCs w:val="28"/>
        </w:rPr>
        <w:t>百分之三十作為回饋金。如台灣電力股份有限公司年平均收購電價逾越本自治條例公布年度之電價零點九五至一點零五</w:t>
      </w:r>
      <w:proofErr w:type="gramStart"/>
      <w:r w:rsidRPr="00F17CEB">
        <w:rPr>
          <w:rFonts w:ascii="標楷體" w:eastAsia="標楷體" w:hAnsi="標楷體" w:cs="標楷體" w:hint="eastAsia"/>
          <w:sz w:val="28"/>
          <w:szCs w:val="28"/>
        </w:rPr>
        <w:t>倍</w:t>
      </w:r>
      <w:proofErr w:type="gramEnd"/>
      <w:r w:rsidRPr="00F17CEB">
        <w:rPr>
          <w:rFonts w:ascii="標楷體" w:eastAsia="標楷體" w:hAnsi="標楷體" w:cs="標楷體" w:hint="eastAsia"/>
          <w:sz w:val="28"/>
          <w:szCs w:val="28"/>
        </w:rPr>
        <w:t>時，得由環保局調整之。</w:t>
      </w:r>
      <w:r w:rsidRPr="00F17CEB">
        <w:rPr>
          <w:rFonts w:ascii="標楷體" w:eastAsia="標楷體" w:hAnsi="標楷體" w:cs="標楷體" w:hint="eastAsia"/>
          <w:kern w:val="0"/>
          <w:sz w:val="28"/>
          <w:szCs w:val="28"/>
        </w:rPr>
        <w:t>屬民有民營者，另依其協助外縣市廢棄物進廠焚化之廢棄物量編列每公噸回饋金新臺幣二百元。</w:t>
      </w:r>
    </w:p>
    <w:p w:rsidR="002108CF" w:rsidRPr="00F17CEB" w:rsidRDefault="002108CF" w:rsidP="003626BC">
      <w:pPr>
        <w:spacing w:beforeLines="50" w:line="460" w:lineRule="atLeast"/>
        <w:ind w:leftChars="590" w:left="1699" w:hangingChars="101" w:hanging="283"/>
        <w:rPr>
          <w:rFonts w:ascii="標楷體" w:eastAsia="標楷體" w:hAnsi="標楷體"/>
          <w:kern w:val="0"/>
          <w:sz w:val="28"/>
          <w:szCs w:val="28"/>
        </w:rPr>
      </w:pPr>
      <w:r w:rsidRPr="00F17CEB">
        <w:rPr>
          <w:rFonts w:ascii="標楷體" w:eastAsia="標楷體" w:hAnsi="標楷體" w:cs="標楷體" w:hint="eastAsia"/>
          <w:kern w:val="0"/>
          <w:sz w:val="28"/>
          <w:szCs w:val="28"/>
        </w:rPr>
        <w:t>二、垃圾衛生掩埋場：依照實際掩埋作業用地面積每平方公尺每</w:t>
      </w:r>
      <w:r w:rsidRPr="00F17CEB">
        <w:rPr>
          <w:rFonts w:ascii="標楷體" w:eastAsia="標楷體" w:hAnsi="標楷體" w:cs="標楷體"/>
          <w:kern w:val="0"/>
          <w:sz w:val="28"/>
          <w:szCs w:val="28"/>
        </w:rPr>
        <w:t xml:space="preserve">   </w:t>
      </w:r>
      <w:r w:rsidRPr="00F17CEB">
        <w:rPr>
          <w:rFonts w:ascii="標楷體" w:eastAsia="標楷體" w:hAnsi="標楷體" w:cs="標楷體" w:hint="eastAsia"/>
          <w:kern w:val="0"/>
          <w:sz w:val="28"/>
          <w:szCs w:val="28"/>
        </w:rPr>
        <w:t>年度回饋金新臺幣</w:t>
      </w:r>
      <w:proofErr w:type="gramStart"/>
      <w:r w:rsidRPr="00F17CEB">
        <w:rPr>
          <w:rFonts w:ascii="標楷體" w:eastAsia="標楷體" w:hAnsi="標楷體" w:cs="標楷體" w:hint="eastAsia"/>
          <w:kern w:val="0"/>
          <w:sz w:val="28"/>
          <w:szCs w:val="28"/>
        </w:rPr>
        <w:t>一</w:t>
      </w:r>
      <w:proofErr w:type="gramEnd"/>
      <w:r w:rsidRPr="00F17CEB">
        <w:rPr>
          <w:rFonts w:ascii="標楷體" w:eastAsia="標楷體" w:hAnsi="標楷體" w:cs="標楷體" w:hint="eastAsia"/>
          <w:kern w:val="0"/>
          <w:sz w:val="28"/>
          <w:szCs w:val="28"/>
        </w:rPr>
        <w:t>百元。有分期掩埋作業者，已停止掩埋逾五年之面積不再計列。</w:t>
      </w:r>
    </w:p>
    <w:p w:rsidR="002108CF" w:rsidRPr="00572275" w:rsidRDefault="002108CF" w:rsidP="001F3334">
      <w:pPr>
        <w:spacing w:line="460" w:lineRule="atLeast"/>
        <w:ind w:leftChars="354" w:left="850" w:firstLine="567"/>
        <w:rPr>
          <w:rFonts w:ascii="標楷體" w:eastAsia="標楷體" w:hAnsi="標楷體"/>
          <w:kern w:val="0"/>
          <w:sz w:val="28"/>
          <w:szCs w:val="28"/>
        </w:rPr>
      </w:pPr>
      <w:r w:rsidRPr="00F17CEB">
        <w:rPr>
          <w:rFonts w:ascii="標楷體" w:eastAsia="標楷體" w:hAnsi="標楷體" w:cs="標楷體" w:hint="eastAsia"/>
          <w:kern w:val="0"/>
          <w:sz w:val="28"/>
          <w:szCs w:val="28"/>
        </w:rPr>
        <w:t>前項垃圾焚化廠回饋金編列至終止營運年度為止，垃圾衛生掩埋場回饋金編列至停止掩埋年度翌年起算五個年度為止。</w:t>
      </w:r>
      <w:r w:rsidR="00572FBC" w:rsidRPr="00572275">
        <w:rPr>
          <w:rFonts w:ascii="標楷體" w:eastAsia="標楷體" w:hAnsi="標楷體" w:cs="標楷體" w:hint="eastAsia"/>
          <w:kern w:val="0"/>
          <w:sz w:val="28"/>
          <w:szCs w:val="28"/>
        </w:rPr>
        <w:t>但垃圾衛生掩埋場停止掩埋年度翌年起算五個年度後，仍作為垃圾轉運</w:t>
      </w:r>
      <w:r w:rsidR="00C6767E" w:rsidRPr="00572275">
        <w:rPr>
          <w:rFonts w:ascii="標楷體" w:eastAsia="標楷體" w:hAnsi="標楷體" w:cs="標楷體" w:hint="eastAsia"/>
          <w:kern w:val="0"/>
          <w:sz w:val="28"/>
          <w:szCs w:val="28"/>
        </w:rPr>
        <w:t>及廚餘回收</w:t>
      </w:r>
      <w:r w:rsidR="00572FBC" w:rsidRPr="00572275">
        <w:rPr>
          <w:rFonts w:ascii="標楷體" w:eastAsia="標楷體" w:hAnsi="標楷體" w:cs="標楷體" w:hint="eastAsia"/>
          <w:kern w:val="0"/>
          <w:sz w:val="28"/>
          <w:szCs w:val="28"/>
        </w:rPr>
        <w:t>、資源回收</w:t>
      </w:r>
      <w:r w:rsidR="00C6767E" w:rsidRPr="00572275">
        <w:rPr>
          <w:rFonts w:ascii="標楷體" w:eastAsia="標楷體" w:hAnsi="標楷體" w:cs="標楷體" w:hint="eastAsia"/>
          <w:kern w:val="0"/>
          <w:sz w:val="28"/>
          <w:szCs w:val="28"/>
        </w:rPr>
        <w:t>作業</w:t>
      </w:r>
      <w:r w:rsidR="00572FBC" w:rsidRPr="00572275">
        <w:rPr>
          <w:rFonts w:ascii="標楷體" w:eastAsia="標楷體" w:hAnsi="標楷體" w:cs="標楷體" w:hint="eastAsia"/>
          <w:kern w:val="0"/>
          <w:sz w:val="28"/>
          <w:szCs w:val="28"/>
        </w:rPr>
        <w:t>使用者</w:t>
      </w:r>
      <w:r w:rsidR="003626BC" w:rsidRPr="003626BC">
        <w:rPr>
          <w:rFonts w:ascii="標楷體" w:eastAsia="標楷體" w:hAnsi="標楷體" w:cs="標楷體" w:hint="eastAsia"/>
          <w:kern w:val="0"/>
          <w:sz w:val="28"/>
          <w:szCs w:val="28"/>
        </w:rPr>
        <w:t>（含進場道路及污水處理設施）</w:t>
      </w:r>
      <w:r w:rsidR="00572FBC" w:rsidRPr="00572275">
        <w:rPr>
          <w:rFonts w:ascii="標楷體" w:eastAsia="標楷體" w:hAnsi="標楷體" w:cs="標楷體" w:hint="eastAsia"/>
          <w:kern w:val="0"/>
          <w:sz w:val="28"/>
          <w:szCs w:val="28"/>
        </w:rPr>
        <w:t>，得依實際作業用地面積每平方公尺每年度回饋金新臺幣</w:t>
      </w:r>
      <w:proofErr w:type="gramStart"/>
      <w:r w:rsidR="00572FBC" w:rsidRPr="00572275">
        <w:rPr>
          <w:rFonts w:ascii="標楷體" w:eastAsia="標楷體" w:hAnsi="標楷體" w:cs="標楷體" w:hint="eastAsia"/>
          <w:kern w:val="0"/>
          <w:sz w:val="28"/>
          <w:szCs w:val="28"/>
        </w:rPr>
        <w:t>一</w:t>
      </w:r>
      <w:proofErr w:type="gramEnd"/>
      <w:r w:rsidR="00572FBC" w:rsidRPr="00572275">
        <w:rPr>
          <w:rFonts w:ascii="標楷體" w:eastAsia="標楷體" w:hAnsi="標楷體" w:cs="標楷體" w:hint="eastAsia"/>
          <w:kern w:val="0"/>
          <w:sz w:val="28"/>
          <w:szCs w:val="28"/>
        </w:rPr>
        <w:t>百元。</w:t>
      </w:r>
    </w:p>
    <w:p w:rsidR="002108CF" w:rsidRPr="00F17CEB" w:rsidRDefault="002108CF" w:rsidP="001E1CA8">
      <w:pPr>
        <w:pStyle w:val="ab"/>
        <w:spacing w:line="460" w:lineRule="atLeast"/>
        <w:ind w:leftChars="0" w:left="0" w:firstLineChars="0" w:firstLine="0"/>
        <w:rPr>
          <w:rFonts w:cs="Times New Roman"/>
          <w:color w:val="auto"/>
        </w:rPr>
      </w:pPr>
      <w:r w:rsidRPr="00F17CEB">
        <w:rPr>
          <w:color w:val="auto"/>
        </w:rPr>
        <w:t xml:space="preserve">          </w:t>
      </w:r>
      <w:r w:rsidRPr="00F17CEB">
        <w:rPr>
          <w:rFonts w:hint="eastAsia"/>
          <w:color w:val="auto"/>
        </w:rPr>
        <w:t>本自治條例</w:t>
      </w:r>
      <w:proofErr w:type="gramStart"/>
      <w:r w:rsidRPr="00F17CEB">
        <w:rPr>
          <w:rFonts w:hint="eastAsia"/>
          <w:color w:val="auto"/>
        </w:rPr>
        <w:t>施行後興設</w:t>
      </w:r>
      <w:proofErr w:type="gramEnd"/>
      <w:r w:rsidRPr="00F17CEB">
        <w:rPr>
          <w:rFonts w:hint="eastAsia"/>
          <w:color w:val="auto"/>
        </w:rPr>
        <w:t>之垃圾處理場所回饋金編列自開始營運日</w:t>
      </w:r>
    </w:p>
    <w:p w:rsidR="002108CF" w:rsidRPr="00F17CEB" w:rsidRDefault="002108CF" w:rsidP="001E1CA8">
      <w:pPr>
        <w:pStyle w:val="ab"/>
        <w:spacing w:line="460" w:lineRule="atLeast"/>
        <w:ind w:leftChars="0" w:left="0" w:firstLineChars="0" w:firstLine="0"/>
        <w:rPr>
          <w:rFonts w:cs="Times New Roman"/>
          <w:color w:val="auto"/>
        </w:rPr>
      </w:pPr>
      <w:r w:rsidRPr="00F17CEB">
        <w:rPr>
          <w:color w:val="auto"/>
        </w:rPr>
        <w:t xml:space="preserve">      </w:t>
      </w:r>
      <w:r w:rsidRPr="00F17CEB">
        <w:rPr>
          <w:rFonts w:hint="eastAsia"/>
          <w:color w:val="auto"/>
        </w:rPr>
        <w:t>起算。</w:t>
      </w:r>
    </w:p>
    <w:p w:rsidR="002108CF" w:rsidRDefault="002108CF" w:rsidP="001F3334">
      <w:pPr>
        <w:spacing w:line="460" w:lineRule="atLeast"/>
        <w:ind w:leftChars="354" w:left="850" w:firstLineChars="202" w:firstLine="566"/>
        <w:rPr>
          <w:rFonts w:ascii="標楷體" w:eastAsia="標楷體" w:hAnsi="標楷體" w:cs="標楷體"/>
          <w:kern w:val="0"/>
          <w:sz w:val="28"/>
          <w:szCs w:val="28"/>
        </w:rPr>
      </w:pPr>
      <w:r w:rsidRPr="00F17CEB">
        <w:rPr>
          <w:rFonts w:ascii="標楷體" w:eastAsia="標楷體" w:hAnsi="標楷體" w:cs="標楷體" w:hint="eastAsia"/>
          <w:sz w:val="28"/>
          <w:szCs w:val="28"/>
        </w:rPr>
        <w:t>垃圾</w:t>
      </w:r>
      <w:r w:rsidRPr="00F17CEB">
        <w:rPr>
          <w:rFonts w:ascii="標楷體" w:eastAsia="標楷體" w:hAnsi="標楷體" w:cs="標楷體" w:hint="eastAsia"/>
          <w:kern w:val="0"/>
          <w:sz w:val="28"/>
          <w:szCs w:val="28"/>
        </w:rPr>
        <w:t>焚化廠及垃圾衛生掩埋場相鄰者，回饋金應合併計算及運用。</w:t>
      </w:r>
    </w:p>
    <w:p w:rsidR="00C00E9C" w:rsidRDefault="00C00E9C" w:rsidP="00C00E9C">
      <w:pPr>
        <w:spacing w:line="460" w:lineRule="exact"/>
        <w:ind w:left="1078" w:hangingChars="385" w:hanging="1078"/>
        <w:jc w:val="both"/>
        <w:rPr>
          <w:rFonts w:ascii="標楷體" w:eastAsia="標楷體" w:hAnsi="標楷體" w:cs="標楷體"/>
          <w:kern w:val="0"/>
          <w:sz w:val="28"/>
          <w:szCs w:val="28"/>
        </w:rPr>
      </w:pPr>
      <w:r w:rsidRPr="00F17CEB">
        <w:rPr>
          <w:rFonts w:ascii="標楷體" w:eastAsia="標楷體" w:hAnsi="標楷體" w:cs="標楷體" w:hint="eastAsia"/>
          <w:kern w:val="0"/>
          <w:sz w:val="28"/>
          <w:szCs w:val="28"/>
        </w:rPr>
        <w:t xml:space="preserve">第十三條　　</w:t>
      </w:r>
      <w:r w:rsidRPr="00F17CEB">
        <w:rPr>
          <w:rFonts w:ascii="標楷體" w:eastAsia="標楷體" w:hAnsi="標楷體" w:cs="標楷體" w:hint="eastAsia"/>
          <w:sz w:val="28"/>
          <w:szCs w:val="28"/>
        </w:rPr>
        <w:t>本自治條例施行前，既有之垃圾處理場所回饋金及原列為毗鄰區</w:t>
      </w:r>
      <w:r w:rsidRPr="00F17CEB">
        <w:rPr>
          <w:rFonts w:ascii="標楷體" w:eastAsia="標楷體" w:hAnsi="標楷體" w:cs="標楷體"/>
          <w:sz w:val="28"/>
          <w:szCs w:val="28"/>
        </w:rPr>
        <w:t>(</w:t>
      </w:r>
      <w:r w:rsidRPr="00F17CEB">
        <w:rPr>
          <w:rFonts w:ascii="標楷體" w:eastAsia="標楷體" w:hAnsi="標楷體" w:cs="標楷體" w:hint="eastAsia"/>
          <w:sz w:val="28"/>
          <w:szCs w:val="28"/>
        </w:rPr>
        <w:t>含其他地區</w:t>
      </w:r>
      <w:r w:rsidRPr="00F17CEB">
        <w:rPr>
          <w:rFonts w:ascii="標楷體" w:eastAsia="標楷體" w:hAnsi="標楷體" w:cs="標楷體"/>
          <w:sz w:val="28"/>
          <w:szCs w:val="28"/>
        </w:rPr>
        <w:t>)</w:t>
      </w:r>
      <w:r w:rsidRPr="00F17CEB">
        <w:rPr>
          <w:rFonts w:ascii="標楷體" w:eastAsia="標楷體" w:hAnsi="標楷體" w:cs="標楷體" w:hint="eastAsia"/>
          <w:sz w:val="28"/>
          <w:szCs w:val="28"/>
        </w:rPr>
        <w:t>回饋金分配比例以中華民國一百年度為基準，</w:t>
      </w:r>
      <w:proofErr w:type="gramStart"/>
      <w:r w:rsidRPr="00F17CEB">
        <w:rPr>
          <w:rFonts w:ascii="標楷體" w:eastAsia="標楷體" w:hAnsi="標楷體" w:cs="標楷體" w:hint="eastAsia"/>
          <w:sz w:val="28"/>
          <w:szCs w:val="28"/>
        </w:rPr>
        <w:t>依當年度</w:t>
      </w:r>
      <w:proofErr w:type="gramEnd"/>
      <w:r w:rsidRPr="00F17CEB">
        <w:rPr>
          <w:rFonts w:ascii="標楷體" w:eastAsia="標楷體" w:hAnsi="標楷體" w:cs="標楷體" w:hint="eastAsia"/>
          <w:sz w:val="28"/>
          <w:szCs w:val="28"/>
        </w:rPr>
        <w:t>相關規定核算後編列辦理。</w:t>
      </w:r>
      <w:proofErr w:type="gramStart"/>
      <w:r w:rsidRPr="00F17CEB">
        <w:rPr>
          <w:rFonts w:ascii="標楷體" w:eastAsia="標楷體" w:hAnsi="標楷體" w:cs="標楷體" w:hint="eastAsia"/>
          <w:sz w:val="28"/>
          <w:szCs w:val="28"/>
        </w:rPr>
        <w:t>但依當年度</w:t>
      </w:r>
      <w:proofErr w:type="gramEnd"/>
      <w:r w:rsidRPr="00F17CEB">
        <w:rPr>
          <w:rFonts w:ascii="標楷體" w:eastAsia="標楷體" w:hAnsi="標楷體" w:cs="標楷體" w:hint="eastAsia"/>
          <w:sz w:val="28"/>
          <w:szCs w:val="28"/>
        </w:rPr>
        <w:t>相關規定</w:t>
      </w:r>
      <w:proofErr w:type="gramStart"/>
      <w:r w:rsidRPr="00F17CEB">
        <w:rPr>
          <w:rFonts w:ascii="標楷體" w:eastAsia="標楷體" w:hAnsi="標楷體" w:cs="標楷體" w:hint="eastAsia"/>
          <w:sz w:val="28"/>
          <w:szCs w:val="28"/>
        </w:rPr>
        <w:t>核算應支給</w:t>
      </w:r>
      <w:proofErr w:type="gramEnd"/>
      <w:r w:rsidRPr="00F17CEB">
        <w:rPr>
          <w:rFonts w:ascii="標楷體" w:eastAsia="標楷體" w:hAnsi="標楷體" w:cs="標楷體" w:hint="eastAsia"/>
          <w:sz w:val="28"/>
          <w:szCs w:val="28"/>
        </w:rPr>
        <w:t>回饋金額度</w:t>
      </w:r>
      <w:r w:rsidRPr="00F17CEB">
        <w:rPr>
          <w:rFonts w:ascii="標楷體" w:eastAsia="標楷體" w:hAnsi="標楷體" w:cs="標楷體" w:hint="eastAsia"/>
          <w:kern w:val="0"/>
          <w:sz w:val="28"/>
          <w:szCs w:val="28"/>
        </w:rPr>
        <w:t>低於中華民國一百年度之基準者，依中華民國一百年度基準編列，並以本自治條例施行日起三年為限。</w:t>
      </w:r>
    </w:p>
    <w:p w:rsidR="002841C3" w:rsidRPr="00523855" w:rsidRDefault="002841C3" w:rsidP="00523855">
      <w:pPr>
        <w:spacing w:line="400" w:lineRule="atLeast"/>
        <w:ind w:leftChars="354" w:left="850" w:firstLineChars="303" w:firstLine="848"/>
        <w:rPr>
          <w:rFonts w:ascii="標楷體" w:eastAsia="標楷體" w:hAnsi="標楷體"/>
          <w:bCs/>
          <w:iCs/>
          <w:kern w:val="0"/>
          <w:sz w:val="28"/>
          <w:szCs w:val="28"/>
        </w:rPr>
      </w:pPr>
      <w:r w:rsidRPr="00523855">
        <w:rPr>
          <w:rFonts w:ascii="標楷體" w:eastAsia="標楷體" w:hAnsi="標楷體" w:hint="eastAsia"/>
          <w:bCs/>
          <w:iCs/>
          <w:kern w:val="0"/>
          <w:sz w:val="28"/>
          <w:szCs w:val="28"/>
        </w:rPr>
        <w:t>掩埋作業使用中之垃圾衛生掩埋場及營運中之垃圾焚化廠，依</w:t>
      </w:r>
      <w:r w:rsidRPr="00523855">
        <w:rPr>
          <w:rFonts w:ascii="標楷體" w:eastAsia="標楷體" w:hAnsi="標楷體" w:hint="eastAsia"/>
          <w:bCs/>
          <w:iCs/>
          <w:kern w:val="0"/>
          <w:sz w:val="28"/>
          <w:szCs w:val="28"/>
        </w:rPr>
        <w:lastRenderedPageBreak/>
        <w:t>前項之規定以中華民國一百年度辦理支給回饋金額度核算者，得不受前項以三年為限</w:t>
      </w:r>
      <w:r w:rsidR="001406D4" w:rsidRPr="00523855">
        <w:rPr>
          <w:rFonts w:ascii="標楷體" w:eastAsia="標楷體" w:hAnsi="標楷體" w:hint="eastAsia"/>
          <w:bCs/>
          <w:iCs/>
          <w:kern w:val="0"/>
          <w:sz w:val="28"/>
          <w:szCs w:val="28"/>
        </w:rPr>
        <w:t>規定</w:t>
      </w:r>
      <w:bookmarkStart w:id="0" w:name="_GoBack"/>
      <w:bookmarkEnd w:id="0"/>
      <w:r w:rsidRPr="00523855">
        <w:rPr>
          <w:rFonts w:ascii="標楷體" w:eastAsia="標楷體" w:hAnsi="標楷體" w:hint="eastAsia"/>
          <w:bCs/>
          <w:iCs/>
          <w:kern w:val="0"/>
          <w:sz w:val="28"/>
          <w:szCs w:val="28"/>
        </w:rPr>
        <w:t>之限制。</w:t>
      </w:r>
    </w:p>
    <w:p w:rsidR="00C00E9C" w:rsidRPr="00F17CEB" w:rsidRDefault="00C00E9C" w:rsidP="003626BC">
      <w:pPr>
        <w:spacing w:beforeLines="50" w:line="460" w:lineRule="exact"/>
        <w:ind w:leftChars="450" w:left="1080" w:firstLineChars="188" w:firstLine="526"/>
        <w:rPr>
          <w:rFonts w:ascii="標楷體" w:eastAsia="標楷體" w:hAnsi="標楷體"/>
          <w:kern w:val="0"/>
          <w:sz w:val="28"/>
          <w:szCs w:val="28"/>
        </w:rPr>
      </w:pPr>
      <w:r w:rsidRPr="00F17CEB">
        <w:rPr>
          <w:rFonts w:ascii="標楷體" w:eastAsia="標楷體" w:hAnsi="標楷體" w:cs="標楷體" w:hint="eastAsia"/>
          <w:sz w:val="28"/>
          <w:szCs w:val="28"/>
        </w:rPr>
        <w:t>后里垃圾焚化廠汽電共生售電收入</w:t>
      </w:r>
      <w:proofErr w:type="gramStart"/>
      <w:r w:rsidRPr="00F17CEB">
        <w:rPr>
          <w:rFonts w:ascii="標楷體" w:eastAsia="標楷體" w:hAnsi="標楷體" w:cs="標楷體" w:hint="eastAsia"/>
          <w:sz w:val="28"/>
          <w:szCs w:val="28"/>
        </w:rPr>
        <w:t>提撥</w:t>
      </w:r>
      <w:proofErr w:type="gramEnd"/>
      <w:r w:rsidRPr="00F17CEB">
        <w:rPr>
          <w:rFonts w:ascii="標楷體" w:eastAsia="標楷體" w:hAnsi="標楷體" w:cs="標楷體" w:hint="eastAsia"/>
          <w:sz w:val="28"/>
          <w:szCs w:val="28"/>
        </w:rPr>
        <w:t>回饋金比例為百分之五十，不受第五條第一項第一款第二目之限制；</w:t>
      </w:r>
      <w:r w:rsidRPr="00F17CEB">
        <w:rPr>
          <w:rFonts w:ascii="標楷體" w:eastAsia="標楷體" w:hAnsi="標楷體" w:cs="標楷體" w:hint="eastAsia"/>
          <w:kern w:val="0"/>
          <w:sz w:val="28"/>
          <w:szCs w:val="28"/>
        </w:rPr>
        <w:t>當地區、毗鄰區及其他地區回饋金分配比例不受</w:t>
      </w:r>
      <w:r w:rsidRPr="00F17CEB">
        <w:rPr>
          <w:rFonts w:ascii="標楷體" w:eastAsia="標楷體" w:hAnsi="標楷體" w:cs="標楷體" w:hint="eastAsia"/>
          <w:sz w:val="28"/>
          <w:szCs w:val="28"/>
        </w:rPr>
        <w:t>第八條第一款之限制。</w:t>
      </w:r>
    </w:p>
    <w:p w:rsidR="00C00E9C" w:rsidRPr="00C41433" w:rsidRDefault="00C00E9C" w:rsidP="001F3334">
      <w:pPr>
        <w:spacing w:line="460" w:lineRule="atLeast"/>
        <w:ind w:leftChars="354" w:left="850" w:firstLineChars="202" w:firstLine="566"/>
        <w:rPr>
          <w:rFonts w:ascii="標楷體" w:eastAsia="標楷體" w:hAnsi="標楷體"/>
          <w:bCs/>
          <w:iCs/>
          <w:kern w:val="0"/>
          <w:sz w:val="28"/>
          <w:szCs w:val="28"/>
        </w:rPr>
      </w:pPr>
    </w:p>
    <w:sectPr w:rsidR="00C00E9C" w:rsidRPr="00C41433" w:rsidSect="00DC6B7A">
      <w:footerReference w:type="default" r:id="rId7"/>
      <w:pgSz w:w="11906" w:h="16838" w:code="9"/>
      <w:pgMar w:top="1258" w:right="1226" w:bottom="1438" w:left="13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274" w:rsidRDefault="00C14274" w:rsidP="00E3589E">
      <w:r>
        <w:separator/>
      </w:r>
    </w:p>
  </w:endnote>
  <w:endnote w:type="continuationSeparator" w:id="0">
    <w:p w:rsidR="00C14274" w:rsidRDefault="00C14274" w:rsidP="00E35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CF" w:rsidRDefault="00F10436" w:rsidP="00DC6B7A">
    <w:pPr>
      <w:pStyle w:val="a3"/>
      <w:framePr w:wrap="auto" w:vAnchor="text" w:hAnchor="margin" w:xAlign="center" w:y="1"/>
      <w:rPr>
        <w:rStyle w:val="a5"/>
      </w:rPr>
    </w:pPr>
    <w:r>
      <w:rPr>
        <w:rStyle w:val="a5"/>
      </w:rPr>
      <w:fldChar w:fldCharType="begin"/>
    </w:r>
    <w:r w:rsidR="002108CF">
      <w:rPr>
        <w:rStyle w:val="a5"/>
      </w:rPr>
      <w:instrText xml:space="preserve">PAGE  </w:instrText>
    </w:r>
    <w:r>
      <w:rPr>
        <w:rStyle w:val="a5"/>
      </w:rPr>
      <w:fldChar w:fldCharType="separate"/>
    </w:r>
    <w:r w:rsidR="003626BC">
      <w:rPr>
        <w:rStyle w:val="a5"/>
        <w:noProof/>
      </w:rPr>
      <w:t>1</w:t>
    </w:r>
    <w:r>
      <w:rPr>
        <w:rStyle w:val="a5"/>
      </w:rPr>
      <w:fldChar w:fldCharType="end"/>
    </w:r>
  </w:p>
  <w:p w:rsidR="002108CF" w:rsidRDefault="002108CF" w:rsidP="00661C1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274" w:rsidRDefault="00C14274" w:rsidP="00E3589E">
      <w:r>
        <w:separator/>
      </w:r>
    </w:p>
  </w:footnote>
  <w:footnote w:type="continuationSeparator" w:id="0">
    <w:p w:rsidR="00C14274" w:rsidRDefault="00C14274" w:rsidP="00E35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8AE"/>
    <w:multiLevelType w:val="hybridMultilevel"/>
    <w:tmpl w:val="DA8E3A2C"/>
    <w:lvl w:ilvl="0" w:tplc="48E4B1FE">
      <w:start w:val="3"/>
      <w:numFmt w:val="taiwaneseCountingThousand"/>
      <w:lvlText w:val="%1、"/>
      <w:lvlJc w:val="left"/>
      <w:pPr>
        <w:tabs>
          <w:tab w:val="num" w:pos="2136"/>
        </w:tabs>
        <w:ind w:left="2136" w:hanging="720"/>
      </w:pPr>
      <w:rPr>
        <w:rFonts w:hint="default"/>
      </w:rPr>
    </w:lvl>
    <w:lvl w:ilvl="1" w:tplc="04090019">
      <w:start w:val="1"/>
      <w:numFmt w:val="ideographTraditional"/>
      <w:lvlText w:val="%2、"/>
      <w:lvlJc w:val="left"/>
      <w:pPr>
        <w:tabs>
          <w:tab w:val="num" w:pos="2376"/>
        </w:tabs>
        <w:ind w:left="2376" w:hanging="480"/>
      </w:pPr>
    </w:lvl>
    <w:lvl w:ilvl="2" w:tplc="0409001B">
      <w:start w:val="1"/>
      <w:numFmt w:val="lowerRoman"/>
      <w:lvlText w:val="%3."/>
      <w:lvlJc w:val="right"/>
      <w:pPr>
        <w:tabs>
          <w:tab w:val="num" w:pos="2856"/>
        </w:tabs>
        <w:ind w:left="2856" w:hanging="480"/>
      </w:pPr>
    </w:lvl>
    <w:lvl w:ilvl="3" w:tplc="0409000F">
      <w:start w:val="1"/>
      <w:numFmt w:val="decimal"/>
      <w:lvlText w:val="%4."/>
      <w:lvlJc w:val="left"/>
      <w:pPr>
        <w:tabs>
          <w:tab w:val="num" w:pos="3336"/>
        </w:tabs>
        <w:ind w:left="3336" w:hanging="480"/>
      </w:pPr>
    </w:lvl>
    <w:lvl w:ilvl="4" w:tplc="04090019">
      <w:start w:val="1"/>
      <w:numFmt w:val="ideographTraditional"/>
      <w:lvlText w:val="%5、"/>
      <w:lvlJc w:val="left"/>
      <w:pPr>
        <w:tabs>
          <w:tab w:val="num" w:pos="3816"/>
        </w:tabs>
        <w:ind w:left="3816" w:hanging="480"/>
      </w:pPr>
    </w:lvl>
    <w:lvl w:ilvl="5" w:tplc="0409001B">
      <w:start w:val="1"/>
      <w:numFmt w:val="lowerRoman"/>
      <w:lvlText w:val="%6."/>
      <w:lvlJc w:val="right"/>
      <w:pPr>
        <w:tabs>
          <w:tab w:val="num" w:pos="4296"/>
        </w:tabs>
        <w:ind w:left="4296" w:hanging="480"/>
      </w:pPr>
    </w:lvl>
    <w:lvl w:ilvl="6" w:tplc="0409000F">
      <w:start w:val="1"/>
      <w:numFmt w:val="decimal"/>
      <w:lvlText w:val="%7."/>
      <w:lvlJc w:val="left"/>
      <w:pPr>
        <w:tabs>
          <w:tab w:val="num" w:pos="4776"/>
        </w:tabs>
        <w:ind w:left="4776" w:hanging="480"/>
      </w:pPr>
    </w:lvl>
    <w:lvl w:ilvl="7" w:tplc="04090019">
      <w:start w:val="1"/>
      <w:numFmt w:val="ideographTraditional"/>
      <w:lvlText w:val="%8、"/>
      <w:lvlJc w:val="left"/>
      <w:pPr>
        <w:tabs>
          <w:tab w:val="num" w:pos="5256"/>
        </w:tabs>
        <w:ind w:left="5256" w:hanging="480"/>
      </w:pPr>
    </w:lvl>
    <w:lvl w:ilvl="8" w:tplc="0409001B">
      <w:start w:val="1"/>
      <w:numFmt w:val="lowerRoman"/>
      <w:lvlText w:val="%9."/>
      <w:lvlJc w:val="right"/>
      <w:pPr>
        <w:tabs>
          <w:tab w:val="num" w:pos="5736"/>
        </w:tabs>
        <w:ind w:left="5736" w:hanging="480"/>
      </w:pPr>
    </w:lvl>
  </w:abstractNum>
  <w:abstractNum w:abstractNumId="1">
    <w:nsid w:val="11B20726"/>
    <w:multiLevelType w:val="hybridMultilevel"/>
    <w:tmpl w:val="3788B16C"/>
    <w:lvl w:ilvl="0" w:tplc="490E08A0">
      <w:start w:val="1"/>
      <w:numFmt w:val="taiwaneseCountingThousand"/>
      <w:lvlText w:val="%1、"/>
      <w:lvlJc w:val="left"/>
      <w:pPr>
        <w:ind w:left="2138" w:hanging="72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2">
    <w:nsid w:val="1705536C"/>
    <w:multiLevelType w:val="hybridMultilevel"/>
    <w:tmpl w:val="1C621D66"/>
    <w:lvl w:ilvl="0" w:tplc="6A329EEA">
      <w:start w:val="1"/>
      <w:numFmt w:val="taiwaneseCountingThousand"/>
      <w:lvlText w:val="%1、"/>
      <w:lvlJc w:val="left"/>
      <w:pPr>
        <w:ind w:left="2136" w:hanging="720"/>
      </w:pPr>
      <w:rPr>
        <w:rFonts w:hint="default"/>
      </w:rPr>
    </w:lvl>
    <w:lvl w:ilvl="1" w:tplc="04090019">
      <w:start w:val="1"/>
      <w:numFmt w:val="ideographTraditional"/>
      <w:lvlText w:val="%2、"/>
      <w:lvlJc w:val="left"/>
      <w:pPr>
        <w:ind w:left="2376" w:hanging="480"/>
      </w:pPr>
    </w:lvl>
    <w:lvl w:ilvl="2" w:tplc="0409001B">
      <w:start w:val="1"/>
      <w:numFmt w:val="lowerRoman"/>
      <w:lvlText w:val="%3."/>
      <w:lvlJc w:val="right"/>
      <w:pPr>
        <w:ind w:left="2856" w:hanging="480"/>
      </w:pPr>
    </w:lvl>
    <w:lvl w:ilvl="3" w:tplc="0409000F">
      <w:start w:val="1"/>
      <w:numFmt w:val="decimal"/>
      <w:lvlText w:val="%4."/>
      <w:lvlJc w:val="left"/>
      <w:pPr>
        <w:ind w:left="3336" w:hanging="480"/>
      </w:pPr>
    </w:lvl>
    <w:lvl w:ilvl="4" w:tplc="04090019">
      <w:start w:val="1"/>
      <w:numFmt w:val="ideographTraditional"/>
      <w:lvlText w:val="%5、"/>
      <w:lvlJc w:val="left"/>
      <w:pPr>
        <w:ind w:left="3816" w:hanging="480"/>
      </w:pPr>
    </w:lvl>
    <w:lvl w:ilvl="5" w:tplc="0409001B">
      <w:start w:val="1"/>
      <w:numFmt w:val="lowerRoman"/>
      <w:lvlText w:val="%6."/>
      <w:lvlJc w:val="right"/>
      <w:pPr>
        <w:ind w:left="4296" w:hanging="480"/>
      </w:pPr>
    </w:lvl>
    <w:lvl w:ilvl="6" w:tplc="0409000F">
      <w:start w:val="1"/>
      <w:numFmt w:val="decimal"/>
      <w:lvlText w:val="%7."/>
      <w:lvlJc w:val="left"/>
      <w:pPr>
        <w:ind w:left="4776" w:hanging="480"/>
      </w:pPr>
    </w:lvl>
    <w:lvl w:ilvl="7" w:tplc="04090019">
      <w:start w:val="1"/>
      <w:numFmt w:val="ideographTraditional"/>
      <w:lvlText w:val="%8、"/>
      <w:lvlJc w:val="left"/>
      <w:pPr>
        <w:ind w:left="5256" w:hanging="480"/>
      </w:pPr>
    </w:lvl>
    <w:lvl w:ilvl="8" w:tplc="0409001B">
      <w:start w:val="1"/>
      <w:numFmt w:val="lowerRoman"/>
      <w:lvlText w:val="%9."/>
      <w:lvlJc w:val="right"/>
      <w:pPr>
        <w:ind w:left="5736" w:hanging="480"/>
      </w:pPr>
    </w:lvl>
  </w:abstractNum>
  <w:abstractNum w:abstractNumId="3">
    <w:nsid w:val="2E566535"/>
    <w:multiLevelType w:val="hybridMultilevel"/>
    <w:tmpl w:val="B35C49D8"/>
    <w:lvl w:ilvl="0" w:tplc="4E300B16">
      <w:start w:val="1"/>
      <w:numFmt w:val="taiwaneseCountingThousand"/>
      <w:lvlText w:val="第%1條"/>
      <w:lvlJc w:val="left"/>
      <w:pPr>
        <w:ind w:left="1410" w:hanging="14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629941B0"/>
    <w:multiLevelType w:val="hybridMultilevel"/>
    <w:tmpl w:val="AFEA23EE"/>
    <w:lvl w:ilvl="0" w:tplc="8E46B830">
      <w:start w:val="1"/>
      <w:numFmt w:val="taiwaneseCountingThousand"/>
      <w:lvlText w:val="%1、"/>
      <w:lvlJc w:val="left"/>
      <w:pPr>
        <w:ind w:left="2147" w:hanging="720"/>
      </w:pPr>
      <w:rPr>
        <w:rFonts w:hint="default"/>
      </w:rPr>
    </w:lvl>
    <w:lvl w:ilvl="1" w:tplc="04090019">
      <w:start w:val="1"/>
      <w:numFmt w:val="ideographTraditional"/>
      <w:lvlText w:val="%2、"/>
      <w:lvlJc w:val="left"/>
      <w:pPr>
        <w:ind w:left="2387" w:hanging="480"/>
      </w:pPr>
    </w:lvl>
    <w:lvl w:ilvl="2" w:tplc="0409001B">
      <w:start w:val="1"/>
      <w:numFmt w:val="lowerRoman"/>
      <w:lvlText w:val="%3."/>
      <w:lvlJc w:val="right"/>
      <w:pPr>
        <w:ind w:left="2867" w:hanging="480"/>
      </w:pPr>
    </w:lvl>
    <w:lvl w:ilvl="3" w:tplc="0409000F">
      <w:start w:val="1"/>
      <w:numFmt w:val="decimal"/>
      <w:lvlText w:val="%4."/>
      <w:lvlJc w:val="left"/>
      <w:pPr>
        <w:ind w:left="3347" w:hanging="480"/>
      </w:pPr>
    </w:lvl>
    <w:lvl w:ilvl="4" w:tplc="04090019">
      <w:start w:val="1"/>
      <w:numFmt w:val="ideographTraditional"/>
      <w:lvlText w:val="%5、"/>
      <w:lvlJc w:val="left"/>
      <w:pPr>
        <w:ind w:left="3827" w:hanging="480"/>
      </w:pPr>
    </w:lvl>
    <w:lvl w:ilvl="5" w:tplc="0409001B">
      <w:start w:val="1"/>
      <w:numFmt w:val="lowerRoman"/>
      <w:lvlText w:val="%6."/>
      <w:lvlJc w:val="right"/>
      <w:pPr>
        <w:ind w:left="4307" w:hanging="480"/>
      </w:pPr>
    </w:lvl>
    <w:lvl w:ilvl="6" w:tplc="0409000F">
      <w:start w:val="1"/>
      <w:numFmt w:val="decimal"/>
      <w:lvlText w:val="%7."/>
      <w:lvlJc w:val="left"/>
      <w:pPr>
        <w:ind w:left="4787" w:hanging="480"/>
      </w:pPr>
    </w:lvl>
    <w:lvl w:ilvl="7" w:tplc="04090019">
      <w:start w:val="1"/>
      <w:numFmt w:val="ideographTraditional"/>
      <w:lvlText w:val="%8、"/>
      <w:lvlJc w:val="left"/>
      <w:pPr>
        <w:ind w:left="5267" w:hanging="480"/>
      </w:pPr>
    </w:lvl>
    <w:lvl w:ilvl="8" w:tplc="0409001B">
      <w:start w:val="1"/>
      <w:numFmt w:val="lowerRoman"/>
      <w:lvlText w:val="%9."/>
      <w:lvlJc w:val="right"/>
      <w:pPr>
        <w:ind w:left="5747" w:hanging="4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245"/>
    <w:rsid w:val="000340EA"/>
    <w:rsid w:val="000573A0"/>
    <w:rsid w:val="0006369C"/>
    <w:rsid w:val="00093080"/>
    <w:rsid w:val="0009438C"/>
    <w:rsid w:val="00097722"/>
    <w:rsid w:val="000C2C52"/>
    <w:rsid w:val="000C7172"/>
    <w:rsid w:val="000E6A49"/>
    <w:rsid w:val="001132F1"/>
    <w:rsid w:val="001158DC"/>
    <w:rsid w:val="001406D4"/>
    <w:rsid w:val="001665B8"/>
    <w:rsid w:val="0017490E"/>
    <w:rsid w:val="00196289"/>
    <w:rsid w:val="001A1861"/>
    <w:rsid w:val="001A41F8"/>
    <w:rsid w:val="001B2245"/>
    <w:rsid w:val="001B3623"/>
    <w:rsid w:val="001D4922"/>
    <w:rsid w:val="001E0F8E"/>
    <w:rsid w:val="001E1CA8"/>
    <w:rsid w:val="001F3334"/>
    <w:rsid w:val="002008AE"/>
    <w:rsid w:val="002100DA"/>
    <w:rsid w:val="002108CF"/>
    <w:rsid w:val="00223753"/>
    <w:rsid w:val="00236007"/>
    <w:rsid w:val="00247087"/>
    <w:rsid w:val="00255CBA"/>
    <w:rsid w:val="002841C3"/>
    <w:rsid w:val="00294B64"/>
    <w:rsid w:val="002C5FB1"/>
    <w:rsid w:val="002E5405"/>
    <w:rsid w:val="002F7190"/>
    <w:rsid w:val="00344FA8"/>
    <w:rsid w:val="003471B4"/>
    <w:rsid w:val="003626BC"/>
    <w:rsid w:val="00395C4B"/>
    <w:rsid w:val="003E3491"/>
    <w:rsid w:val="003F558C"/>
    <w:rsid w:val="004044D6"/>
    <w:rsid w:val="004149E9"/>
    <w:rsid w:val="0042137F"/>
    <w:rsid w:val="004446A9"/>
    <w:rsid w:val="00476C6E"/>
    <w:rsid w:val="00484ABE"/>
    <w:rsid w:val="00494840"/>
    <w:rsid w:val="004D12F0"/>
    <w:rsid w:val="004D69A7"/>
    <w:rsid w:val="004E2354"/>
    <w:rsid w:val="00520289"/>
    <w:rsid w:val="00523855"/>
    <w:rsid w:val="00524F8B"/>
    <w:rsid w:val="00527752"/>
    <w:rsid w:val="005423CC"/>
    <w:rsid w:val="0056002B"/>
    <w:rsid w:val="00572275"/>
    <w:rsid w:val="00572FBC"/>
    <w:rsid w:val="005867E2"/>
    <w:rsid w:val="005A2776"/>
    <w:rsid w:val="005B5154"/>
    <w:rsid w:val="00661C1D"/>
    <w:rsid w:val="00692FA0"/>
    <w:rsid w:val="006A20F4"/>
    <w:rsid w:val="006C0374"/>
    <w:rsid w:val="006C2BB3"/>
    <w:rsid w:val="006D5D8B"/>
    <w:rsid w:val="006E0421"/>
    <w:rsid w:val="006E0D6D"/>
    <w:rsid w:val="006F6CE2"/>
    <w:rsid w:val="00705A66"/>
    <w:rsid w:val="00784398"/>
    <w:rsid w:val="00785881"/>
    <w:rsid w:val="007C1D18"/>
    <w:rsid w:val="0083291A"/>
    <w:rsid w:val="008544A6"/>
    <w:rsid w:val="00866B85"/>
    <w:rsid w:val="00882450"/>
    <w:rsid w:val="008D4E41"/>
    <w:rsid w:val="008D6EDF"/>
    <w:rsid w:val="008E0885"/>
    <w:rsid w:val="00907143"/>
    <w:rsid w:val="0091470E"/>
    <w:rsid w:val="009C7EBE"/>
    <w:rsid w:val="009E2194"/>
    <w:rsid w:val="009F47DD"/>
    <w:rsid w:val="00A1188C"/>
    <w:rsid w:val="00A43E8B"/>
    <w:rsid w:val="00A52AA5"/>
    <w:rsid w:val="00A74335"/>
    <w:rsid w:val="00A76A9C"/>
    <w:rsid w:val="00A852A3"/>
    <w:rsid w:val="00A97018"/>
    <w:rsid w:val="00AA30F2"/>
    <w:rsid w:val="00AA628A"/>
    <w:rsid w:val="00AE49AC"/>
    <w:rsid w:val="00B02A48"/>
    <w:rsid w:val="00B37C21"/>
    <w:rsid w:val="00B62CB1"/>
    <w:rsid w:val="00B63623"/>
    <w:rsid w:val="00B64852"/>
    <w:rsid w:val="00B663EB"/>
    <w:rsid w:val="00B701D0"/>
    <w:rsid w:val="00B720AA"/>
    <w:rsid w:val="00BA70FF"/>
    <w:rsid w:val="00BB616D"/>
    <w:rsid w:val="00BC0FD0"/>
    <w:rsid w:val="00BC15B9"/>
    <w:rsid w:val="00BC2275"/>
    <w:rsid w:val="00BF43F3"/>
    <w:rsid w:val="00BF55E2"/>
    <w:rsid w:val="00C00E9C"/>
    <w:rsid w:val="00C1148B"/>
    <w:rsid w:val="00C12758"/>
    <w:rsid w:val="00C14274"/>
    <w:rsid w:val="00C30FA2"/>
    <w:rsid w:val="00C41433"/>
    <w:rsid w:val="00C463A4"/>
    <w:rsid w:val="00C6767E"/>
    <w:rsid w:val="00C74800"/>
    <w:rsid w:val="00C83FF2"/>
    <w:rsid w:val="00C90AB1"/>
    <w:rsid w:val="00CA0459"/>
    <w:rsid w:val="00CB0767"/>
    <w:rsid w:val="00D0186F"/>
    <w:rsid w:val="00D14F86"/>
    <w:rsid w:val="00D21C02"/>
    <w:rsid w:val="00D2284F"/>
    <w:rsid w:val="00D3561D"/>
    <w:rsid w:val="00D47114"/>
    <w:rsid w:val="00D60D2E"/>
    <w:rsid w:val="00D74D53"/>
    <w:rsid w:val="00D832B0"/>
    <w:rsid w:val="00D87D90"/>
    <w:rsid w:val="00DC6B7A"/>
    <w:rsid w:val="00E241F2"/>
    <w:rsid w:val="00E3589E"/>
    <w:rsid w:val="00E44B38"/>
    <w:rsid w:val="00E93CD8"/>
    <w:rsid w:val="00EC48AF"/>
    <w:rsid w:val="00EC6D28"/>
    <w:rsid w:val="00ED0A94"/>
    <w:rsid w:val="00F10436"/>
    <w:rsid w:val="00F104ED"/>
    <w:rsid w:val="00F14C23"/>
    <w:rsid w:val="00F17CEB"/>
    <w:rsid w:val="00F21EE2"/>
    <w:rsid w:val="00F4549C"/>
    <w:rsid w:val="00FB47C0"/>
    <w:rsid w:val="00FE3B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4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2245"/>
    <w:pPr>
      <w:tabs>
        <w:tab w:val="center" w:pos="4153"/>
        <w:tab w:val="right" w:pos="8306"/>
      </w:tabs>
      <w:snapToGrid w:val="0"/>
    </w:pPr>
    <w:rPr>
      <w:sz w:val="20"/>
      <w:szCs w:val="20"/>
    </w:rPr>
  </w:style>
  <w:style w:type="character" w:customStyle="1" w:styleId="a4">
    <w:name w:val="頁尾 字元"/>
    <w:basedOn w:val="a0"/>
    <w:link w:val="a3"/>
    <w:uiPriority w:val="99"/>
    <w:locked/>
    <w:rsid w:val="001B2245"/>
    <w:rPr>
      <w:rFonts w:ascii="Times New Roman" w:eastAsia="新細明體" w:hAnsi="Times New Roman" w:cs="Times New Roman"/>
      <w:sz w:val="20"/>
      <w:szCs w:val="20"/>
    </w:rPr>
  </w:style>
  <w:style w:type="character" w:styleId="a5">
    <w:name w:val="page number"/>
    <w:basedOn w:val="a0"/>
    <w:uiPriority w:val="99"/>
    <w:rsid w:val="001B2245"/>
  </w:style>
  <w:style w:type="paragraph" w:styleId="a6">
    <w:name w:val="header"/>
    <w:basedOn w:val="a"/>
    <w:link w:val="a7"/>
    <w:uiPriority w:val="99"/>
    <w:rsid w:val="001B2245"/>
    <w:pPr>
      <w:tabs>
        <w:tab w:val="center" w:pos="4153"/>
        <w:tab w:val="right" w:pos="8306"/>
      </w:tabs>
      <w:snapToGrid w:val="0"/>
    </w:pPr>
    <w:rPr>
      <w:sz w:val="20"/>
      <w:szCs w:val="20"/>
    </w:rPr>
  </w:style>
  <w:style w:type="character" w:customStyle="1" w:styleId="a7">
    <w:name w:val="頁首 字元"/>
    <w:basedOn w:val="a0"/>
    <w:link w:val="a6"/>
    <w:uiPriority w:val="99"/>
    <w:locked/>
    <w:rsid w:val="001B2245"/>
    <w:rPr>
      <w:rFonts w:ascii="Times New Roman" w:eastAsia="新細明體" w:hAnsi="Times New Roman" w:cs="Times New Roman"/>
      <w:sz w:val="20"/>
      <w:szCs w:val="20"/>
    </w:rPr>
  </w:style>
  <w:style w:type="paragraph" w:styleId="a8">
    <w:name w:val="List Paragraph"/>
    <w:basedOn w:val="a"/>
    <w:uiPriority w:val="99"/>
    <w:qFormat/>
    <w:rsid w:val="001665B8"/>
    <w:pPr>
      <w:ind w:leftChars="200" w:left="480"/>
    </w:pPr>
  </w:style>
  <w:style w:type="paragraph" w:styleId="a9">
    <w:name w:val="Balloon Text"/>
    <w:basedOn w:val="a"/>
    <w:link w:val="aa"/>
    <w:uiPriority w:val="99"/>
    <w:semiHidden/>
    <w:rsid w:val="00AE49AC"/>
    <w:rPr>
      <w:rFonts w:ascii="Cambria" w:hAnsi="Cambria" w:cs="Cambria"/>
      <w:sz w:val="18"/>
      <w:szCs w:val="18"/>
    </w:rPr>
  </w:style>
  <w:style w:type="character" w:customStyle="1" w:styleId="aa">
    <w:name w:val="註解方塊文字 字元"/>
    <w:basedOn w:val="a0"/>
    <w:link w:val="a9"/>
    <w:uiPriority w:val="99"/>
    <w:semiHidden/>
    <w:locked/>
    <w:rsid w:val="00AE49AC"/>
    <w:rPr>
      <w:rFonts w:ascii="Cambria" w:eastAsia="新細明體" w:hAnsi="Cambria" w:cs="Cambria"/>
      <w:sz w:val="18"/>
      <w:szCs w:val="18"/>
    </w:rPr>
  </w:style>
  <w:style w:type="paragraph" w:customStyle="1" w:styleId="ab">
    <w:name w:val="第二項以後"/>
    <w:basedOn w:val="a"/>
    <w:link w:val="ac"/>
    <w:autoRedefine/>
    <w:uiPriority w:val="99"/>
    <w:rsid w:val="00F14C23"/>
    <w:pPr>
      <w:spacing w:line="460" w:lineRule="exact"/>
      <w:ind w:leftChars="700" w:left="1680" w:firstLineChars="200" w:firstLine="560"/>
    </w:pPr>
    <w:rPr>
      <w:rFonts w:ascii="標楷體" w:eastAsia="標楷體" w:hAnsi="標楷體" w:cs="標楷體"/>
      <w:color w:val="000000"/>
      <w:kern w:val="0"/>
      <w:sz w:val="28"/>
      <w:szCs w:val="28"/>
    </w:rPr>
  </w:style>
  <w:style w:type="character" w:customStyle="1" w:styleId="ac">
    <w:name w:val="第二項以後 字元"/>
    <w:link w:val="ab"/>
    <w:uiPriority w:val="99"/>
    <w:locked/>
    <w:rsid w:val="00F14C23"/>
    <w:rPr>
      <w:rFonts w:ascii="標楷體" w:eastAsia="標楷體" w:hAnsi="標楷體" w:cs="標楷體"/>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639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123</Words>
  <Characters>704</Characters>
  <Application>Microsoft Office Word</Application>
  <DocSecurity>0</DocSecurity>
  <Lines>5</Lines>
  <Paragraphs>1</Paragraphs>
  <ScaleCrop>false</ScaleCrop>
  <Company>Acer</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14</cp:revision>
  <cp:lastPrinted>2015-05-20T08:09:00Z</cp:lastPrinted>
  <dcterms:created xsi:type="dcterms:W3CDTF">2012-04-30T01:15:00Z</dcterms:created>
  <dcterms:modified xsi:type="dcterms:W3CDTF">2015-05-26T08:21:00Z</dcterms:modified>
</cp:coreProperties>
</file>