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2B" w:rsidRDefault="00A801DC" w:rsidP="00A801D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591300" cy="9277350"/>
            <wp:effectExtent l="19050" t="0" r="0" b="0"/>
            <wp:docPr id="1" name="圖片 1" descr="http://www.cdcc.gov.tw/mediafile/1904/news/53/2013-6/2013-6-28-13-46-25-n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dcc.gov.tw/mediafile/1904/news/53/2013-6/2013-6-28-13-46-25-nf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300" cy="928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4A2B" w:rsidSect="00A801DC">
      <w:pgSz w:w="11906" w:h="16838"/>
      <w:pgMar w:top="993" w:right="1800" w:bottom="993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DC"/>
    <w:rsid w:val="009A4A2B"/>
    <w:rsid w:val="00A801DC"/>
    <w:rsid w:val="00E3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801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801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od2309</dc:creator>
  <cp:lastModifiedBy>廖淑惠</cp:lastModifiedBy>
  <cp:revision>2</cp:revision>
  <cp:lastPrinted>2013-07-17T06:25:00Z</cp:lastPrinted>
  <dcterms:created xsi:type="dcterms:W3CDTF">2013-07-22T01:52:00Z</dcterms:created>
  <dcterms:modified xsi:type="dcterms:W3CDTF">2013-07-22T01:52:00Z</dcterms:modified>
</cp:coreProperties>
</file>