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78D75" w14:textId="77777777" w:rsidR="00B52F45" w:rsidRDefault="00B52F45" w:rsidP="00B52F45">
      <w:pPr>
        <w:jc w:val="center"/>
      </w:pPr>
      <w:proofErr w:type="gramStart"/>
      <w:r>
        <w:rPr>
          <w:rFonts w:ascii="Times New Roman" w:eastAsia="標楷體" w:hAnsi="Times New Roman" w:hint="eastAsia"/>
          <w:sz w:val="40"/>
          <w:szCs w:val="40"/>
        </w:rPr>
        <w:t>臺</w:t>
      </w:r>
      <w:proofErr w:type="gramEnd"/>
      <w:r>
        <w:rPr>
          <w:rFonts w:ascii="Times New Roman" w:eastAsia="標楷體" w:hAnsi="Times New Roman" w:hint="eastAsia"/>
          <w:sz w:val="40"/>
          <w:szCs w:val="40"/>
        </w:rPr>
        <w:t>中市推廣硬地音樂活動補助</w:t>
      </w:r>
      <w:r>
        <w:rPr>
          <w:rFonts w:ascii="Times New Roman" w:eastAsia="標楷體" w:hAnsi="Times New Roman" w:hint="eastAsia"/>
          <w:sz w:val="40"/>
          <w:szCs w:val="40"/>
          <w:lang w:eastAsia="zh-HK"/>
        </w:rPr>
        <w:t>辦法</w:t>
      </w:r>
      <w:bookmarkStart w:id="0" w:name="_GoBack"/>
      <w:bookmarkEnd w:id="0"/>
    </w:p>
    <w:p w14:paraId="013A83D2" w14:textId="77777777" w:rsidR="00B52F45" w:rsidRDefault="00B52F45" w:rsidP="00B52F45">
      <w:pPr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第一條</w:t>
      </w:r>
      <w:r>
        <w:rPr>
          <w:rFonts w:ascii="標楷體" w:eastAsia="標楷體" w:hAnsi="標楷體" w:hint="eastAsia"/>
          <w:sz w:val="28"/>
          <w:szCs w:val="28"/>
        </w:rPr>
        <w:t xml:space="preserve">　　臺中市政府為推廣硬地音樂活動，鼓勵硬地音樂創作，促進音樂產業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多元</w:t>
      </w:r>
      <w:r>
        <w:rPr>
          <w:rFonts w:ascii="標楷體" w:eastAsia="標楷體" w:hAnsi="標楷體" w:hint="eastAsia"/>
          <w:sz w:val="28"/>
          <w:szCs w:val="28"/>
        </w:rPr>
        <w:t>發展，特訂定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本辦法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CDFB940" w14:textId="77777777" w:rsidR="00B52F45" w:rsidRDefault="00B52F45" w:rsidP="00B52F45">
      <w:pPr>
        <w:spacing w:line="460" w:lineRule="exact"/>
        <w:ind w:left="848" w:hangingChars="303" w:hanging="84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第二條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本辦法之主管機關為臺中市政府聞局</w:t>
      </w: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以下簡稱新聞局</w:t>
      </w:r>
      <w:r>
        <w:rPr>
          <w:rFonts w:ascii="標楷體" w:eastAsia="標楷體" w:hAnsi="標楷體" w:hint="eastAsia"/>
          <w:sz w:val="28"/>
          <w:szCs w:val="28"/>
        </w:rPr>
        <w:t>）。</w:t>
      </w:r>
    </w:p>
    <w:p w14:paraId="6DD29B4C" w14:textId="77777777" w:rsidR="00B52F45" w:rsidRDefault="00B52F45" w:rsidP="00B52F45">
      <w:pPr>
        <w:spacing w:line="460" w:lineRule="exact"/>
        <w:ind w:left="848" w:hangingChars="303" w:hanging="84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第三條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依中華民國法令設立登記之法人、非法人團體或商號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符合下列情形之一者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得依本辦法申請補助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439CB01D" w14:textId="77777777" w:rsidR="00B52F45" w:rsidRDefault="00B52F45" w:rsidP="00B52F45">
      <w:pPr>
        <w:pStyle w:val="a7"/>
        <w:numPr>
          <w:ilvl w:val="0"/>
          <w:numId w:val="1"/>
        </w:numPr>
        <w:spacing w:line="460" w:lineRule="exact"/>
        <w:ind w:left="1985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製作、發行或行銷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硬地音樂</w:t>
      </w:r>
      <w:r>
        <w:rPr>
          <w:rFonts w:ascii="標楷體" w:eastAsia="標楷體" w:hAnsi="標楷體" w:hint="eastAsia"/>
          <w:sz w:val="28"/>
          <w:szCs w:val="28"/>
        </w:rPr>
        <w:t>有聲出版品。</w:t>
      </w:r>
    </w:p>
    <w:p w14:paraId="6D1D2BF6" w14:textId="77777777" w:rsidR="00B52F45" w:rsidRDefault="00B52F45" w:rsidP="00B52F45">
      <w:pPr>
        <w:pStyle w:val="a7"/>
        <w:numPr>
          <w:ilvl w:val="0"/>
          <w:numId w:val="1"/>
        </w:numPr>
        <w:spacing w:line="460" w:lineRule="exact"/>
        <w:ind w:left="1985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經紀、聘僱硬地音樂歌手、樂手或樂團。</w:t>
      </w:r>
    </w:p>
    <w:p w14:paraId="132C7DFF" w14:textId="77777777" w:rsidR="00B52F45" w:rsidRDefault="00B52F45" w:rsidP="00B52F45">
      <w:pPr>
        <w:spacing w:line="460" w:lineRule="exact"/>
        <w:ind w:left="851" w:firstLineChars="202" w:firstLine="566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外國公司之分公司或最</w:t>
      </w:r>
      <w:r>
        <w:rPr>
          <w:rFonts w:ascii="標楷體" w:eastAsia="標楷體" w:hAnsi="標楷體" w:hint="eastAsia"/>
          <w:sz w:val="28"/>
          <w:szCs w:val="28"/>
        </w:rPr>
        <w:t>近二年內曾經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新聞局</w:t>
      </w:r>
      <w:r>
        <w:rPr>
          <w:rFonts w:ascii="標楷體" w:eastAsia="標楷體" w:hAnsi="標楷體" w:hint="eastAsia"/>
          <w:sz w:val="28"/>
          <w:szCs w:val="28"/>
        </w:rPr>
        <w:t>撤銷或廢止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原核定之</w:t>
      </w:r>
      <w:r>
        <w:rPr>
          <w:rFonts w:ascii="標楷體" w:eastAsia="標楷體" w:hAnsi="標楷體" w:hint="eastAsia"/>
          <w:sz w:val="28"/>
          <w:szCs w:val="28"/>
        </w:rPr>
        <w:t>補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助者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不得申請補助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CEA5C68" w14:textId="77777777" w:rsidR="00B52F45" w:rsidRDefault="00B52F45" w:rsidP="00B52F45">
      <w:pPr>
        <w:spacing w:line="460" w:lineRule="exact"/>
        <w:ind w:left="848" w:hangingChars="303" w:hanging="84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第四條</w:t>
      </w:r>
      <w:r>
        <w:rPr>
          <w:rFonts w:ascii="標楷體" w:eastAsia="標楷體" w:hAnsi="標楷體" w:hint="eastAsia"/>
          <w:sz w:val="28"/>
          <w:szCs w:val="28"/>
        </w:rPr>
        <w:t xml:space="preserve">　　申請補助者應於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新聞局</w:t>
      </w:r>
      <w:r>
        <w:rPr>
          <w:rFonts w:ascii="標楷體" w:eastAsia="標楷體" w:hAnsi="標楷體" w:hint="eastAsia"/>
          <w:sz w:val="28"/>
          <w:szCs w:val="28"/>
        </w:rPr>
        <w:t>公告申請期間內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填具申請書</w:t>
      </w:r>
      <w:r>
        <w:rPr>
          <w:rFonts w:ascii="標楷體" w:eastAsia="標楷體" w:hAnsi="標楷體" w:hint="eastAsia"/>
          <w:sz w:val="28"/>
          <w:szCs w:val="28"/>
        </w:rPr>
        <w:t>並檢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附</w:t>
      </w:r>
      <w:r>
        <w:rPr>
          <w:rFonts w:ascii="標楷體" w:eastAsia="標楷體" w:hAnsi="標楷體" w:hint="eastAsia"/>
          <w:sz w:val="28"/>
          <w:szCs w:val="28"/>
        </w:rPr>
        <w:t>下列文件各一式七份：</w:t>
      </w:r>
    </w:p>
    <w:p w14:paraId="35E7C12C" w14:textId="77777777" w:rsidR="00B52F45" w:rsidRDefault="00B52F45" w:rsidP="00B52F45">
      <w:pPr>
        <w:pStyle w:val="a7"/>
        <w:numPr>
          <w:ilvl w:val="0"/>
          <w:numId w:val="2"/>
        </w:numPr>
        <w:spacing w:line="460" w:lineRule="exact"/>
        <w:ind w:left="1985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計畫書；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申請時已執行完畢者，僅須檢附</w:t>
      </w:r>
      <w:r>
        <w:rPr>
          <w:rFonts w:ascii="標楷體" w:eastAsia="標楷體" w:hAnsi="標楷體" w:hint="eastAsia"/>
          <w:sz w:val="28"/>
          <w:szCs w:val="28"/>
        </w:rPr>
        <w:t>成果報告書。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計畫書或成果報告書</w:t>
      </w:r>
      <w:r>
        <w:rPr>
          <w:rFonts w:ascii="標楷體" w:eastAsia="標楷體" w:hAnsi="標楷體" w:hint="eastAsia"/>
          <w:sz w:val="28"/>
          <w:szCs w:val="28"/>
        </w:rPr>
        <w:t>內容應包括：</w:t>
      </w:r>
    </w:p>
    <w:p w14:paraId="16EA8217" w14:textId="77777777" w:rsidR="00B52F45" w:rsidRDefault="00B52F45" w:rsidP="00B52F45">
      <w:pPr>
        <w:pStyle w:val="a7"/>
        <w:numPr>
          <w:ilvl w:val="0"/>
          <w:numId w:val="3"/>
        </w:numPr>
        <w:spacing w:line="46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完整行銷宣傳硬地樂團、表演者（以下簡稱演出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者</w:t>
      </w:r>
      <w:r>
        <w:rPr>
          <w:rFonts w:ascii="標楷體" w:eastAsia="標楷體" w:hAnsi="標楷體" w:hint="eastAsia"/>
          <w:sz w:val="28"/>
          <w:szCs w:val="28"/>
        </w:rPr>
        <w:t>）及其音樂作品之計畫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或成果，並</w:t>
      </w:r>
      <w:r>
        <w:rPr>
          <w:rFonts w:ascii="標楷體" w:eastAsia="標楷體" w:hAnsi="標楷體" w:hint="eastAsia"/>
          <w:sz w:val="28"/>
          <w:szCs w:val="28"/>
        </w:rPr>
        <w:t>應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敘</w:t>
      </w:r>
      <w:r>
        <w:rPr>
          <w:rFonts w:ascii="標楷體" w:eastAsia="標楷體" w:hAnsi="標楷體" w:hint="eastAsia"/>
          <w:sz w:val="28"/>
          <w:szCs w:val="28"/>
        </w:rPr>
        <w:t>明活動或演出者與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HK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HK"/>
        </w:rPr>
        <w:t>中</w:t>
      </w:r>
      <w:r>
        <w:rPr>
          <w:rFonts w:ascii="標楷體" w:eastAsia="標楷體" w:hAnsi="標楷體" w:hint="eastAsia"/>
          <w:sz w:val="28"/>
          <w:szCs w:val="28"/>
        </w:rPr>
        <w:t>市（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以下簡稱本市</w:t>
      </w:r>
      <w:r>
        <w:rPr>
          <w:rFonts w:ascii="標楷體" w:eastAsia="標楷體" w:hAnsi="標楷體" w:hint="eastAsia"/>
          <w:sz w:val="28"/>
          <w:szCs w:val="28"/>
        </w:rPr>
        <w:t>）之相關性。</w:t>
      </w:r>
    </w:p>
    <w:p w14:paraId="3D8D5C4F" w14:textId="77777777" w:rsidR="00B52F45" w:rsidRDefault="00B52F45" w:rsidP="00B52F45">
      <w:pPr>
        <w:pStyle w:val="a7"/>
        <w:numPr>
          <w:ilvl w:val="0"/>
          <w:numId w:val="3"/>
        </w:numPr>
        <w:spacing w:line="46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全案細部執行期程表及項目。</w:t>
      </w:r>
    </w:p>
    <w:p w14:paraId="731B2620" w14:textId="77777777" w:rsidR="00B52F45" w:rsidRDefault="00B52F45" w:rsidP="00B52F45">
      <w:pPr>
        <w:pStyle w:val="a7"/>
        <w:numPr>
          <w:ilvl w:val="0"/>
          <w:numId w:val="3"/>
        </w:numPr>
        <w:spacing w:line="46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申請補助項目及金額。</w:t>
      </w:r>
    </w:p>
    <w:p w14:paraId="73929B40" w14:textId="77777777" w:rsidR="00B52F45" w:rsidRDefault="00B52F45" w:rsidP="00B52F45">
      <w:pPr>
        <w:pStyle w:val="a7"/>
        <w:numPr>
          <w:ilvl w:val="0"/>
          <w:numId w:val="3"/>
        </w:numPr>
        <w:spacing w:line="46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預期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或實際</w:t>
      </w:r>
      <w:r>
        <w:rPr>
          <w:rFonts w:ascii="標楷體" w:eastAsia="標楷體" w:hAnsi="標楷體" w:hint="eastAsia"/>
          <w:sz w:val="28"/>
          <w:szCs w:val="28"/>
        </w:rPr>
        <w:t>效益。</w:t>
      </w:r>
    </w:p>
    <w:p w14:paraId="5A5AC961" w14:textId="77777777" w:rsidR="00B52F45" w:rsidRDefault="00B52F45" w:rsidP="00B52F45">
      <w:pPr>
        <w:pStyle w:val="a7"/>
        <w:numPr>
          <w:ilvl w:val="0"/>
          <w:numId w:val="2"/>
        </w:numPr>
        <w:spacing w:line="460" w:lineRule="exact"/>
        <w:ind w:left="1985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依中華民國法令設立登記之證明文件。</w:t>
      </w:r>
    </w:p>
    <w:p w14:paraId="67EC7410" w14:textId="77777777" w:rsidR="00B52F45" w:rsidRDefault="00B52F45" w:rsidP="00B52F45">
      <w:pPr>
        <w:pStyle w:val="a7"/>
        <w:numPr>
          <w:ilvl w:val="0"/>
          <w:numId w:val="2"/>
        </w:numPr>
        <w:spacing w:line="460" w:lineRule="exact"/>
        <w:ind w:left="1985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參與演出者之中華民國國民身分證正反面影本；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為外國人者，其居留證明及</w:t>
      </w:r>
      <w:r>
        <w:rPr>
          <w:rFonts w:ascii="標楷體" w:eastAsia="標楷體" w:hAnsi="標楷體" w:hint="eastAsia"/>
          <w:sz w:val="28"/>
          <w:szCs w:val="28"/>
        </w:rPr>
        <w:t>中央勞動主管機關核發之外國人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工作</w:t>
      </w:r>
      <w:r>
        <w:rPr>
          <w:rFonts w:ascii="標楷體" w:eastAsia="標楷體" w:hAnsi="標楷體" w:hint="eastAsia"/>
          <w:sz w:val="28"/>
          <w:szCs w:val="28"/>
        </w:rPr>
        <w:t>許可函影本。</w:t>
      </w:r>
    </w:p>
    <w:p w14:paraId="752D843E" w14:textId="77777777" w:rsidR="00B52F45" w:rsidRDefault="00B52F45" w:rsidP="00B52F45">
      <w:pPr>
        <w:pStyle w:val="a7"/>
        <w:numPr>
          <w:ilvl w:val="0"/>
          <w:numId w:val="2"/>
        </w:numPr>
        <w:spacing w:line="460" w:lineRule="exact"/>
        <w:ind w:left="1985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參與演出者之經紀或聘僱契約影本等合作證明文件。</w:t>
      </w:r>
    </w:p>
    <w:p w14:paraId="6E373715" w14:textId="77777777" w:rsidR="00B52F45" w:rsidRDefault="00B52F45" w:rsidP="00B52F45">
      <w:pPr>
        <w:pStyle w:val="a7"/>
        <w:numPr>
          <w:ilvl w:val="0"/>
          <w:numId w:val="2"/>
        </w:numPr>
        <w:spacing w:line="460" w:lineRule="exact"/>
        <w:ind w:left="1985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參與演出者之影音出版品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或</w:t>
      </w:r>
      <w:r>
        <w:rPr>
          <w:rFonts w:ascii="標楷體" w:eastAsia="標楷體" w:hAnsi="標楷體" w:hint="eastAsia"/>
          <w:sz w:val="28"/>
          <w:szCs w:val="28"/>
        </w:rPr>
        <w:t>試聽帶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等</w:t>
      </w:r>
      <w:r>
        <w:rPr>
          <w:rFonts w:ascii="標楷體" w:eastAsia="標楷體" w:hAnsi="標楷體" w:hint="eastAsia"/>
          <w:sz w:val="28"/>
          <w:szCs w:val="28"/>
        </w:rPr>
        <w:t>音樂表演作品。</w:t>
      </w:r>
    </w:p>
    <w:p w14:paraId="57490482" w14:textId="77777777" w:rsidR="00B52F45" w:rsidRDefault="00B52F45" w:rsidP="00B52F45">
      <w:pPr>
        <w:pStyle w:val="a7"/>
        <w:numPr>
          <w:ilvl w:val="0"/>
          <w:numId w:val="2"/>
        </w:numPr>
        <w:spacing w:line="460" w:lineRule="exact"/>
        <w:ind w:left="1985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經費預估表；申請時已執行完畢者，檢附全案總經費支出明細表。</w:t>
      </w:r>
    </w:p>
    <w:p w14:paraId="273ECE03" w14:textId="77777777" w:rsidR="00B52F45" w:rsidRDefault="00B52F45" w:rsidP="00B52F45">
      <w:pPr>
        <w:pStyle w:val="a7"/>
        <w:numPr>
          <w:ilvl w:val="0"/>
          <w:numId w:val="2"/>
        </w:numPr>
        <w:spacing w:line="460" w:lineRule="exact"/>
        <w:ind w:left="1985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其他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經新聞局</w:t>
      </w:r>
      <w:r>
        <w:rPr>
          <w:rFonts w:ascii="標楷體" w:eastAsia="標楷體" w:hAnsi="標楷體" w:hint="eastAsia"/>
          <w:sz w:val="28"/>
          <w:szCs w:val="28"/>
        </w:rPr>
        <w:t>指定之文件。</w:t>
      </w:r>
    </w:p>
    <w:p w14:paraId="2F721A50" w14:textId="77777777" w:rsidR="00B52F45" w:rsidRDefault="00B52F45" w:rsidP="00B52F45">
      <w:pPr>
        <w:spacing w:line="460" w:lineRule="exact"/>
        <w:ind w:left="848" w:hangingChars="303" w:hanging="84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前項文件</w:t>
      </w:r>
      <w:r>
        <w:rPr>
          <w:rFonts w:ascii="標楷體" w:eastAsia="標楷體" w:hAnsi="標楷體" w:hint="eastAsia"/>
          <w:sz w:val="28"/>
          <w:szCs w:val="28"/>
        </w:rPr>
        <w:t>內容有不齊全者，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新聞局</w:t>
      </w:r>
      <w:r>
        <w:rPr>
          <w:rFonts w:ascii="標楷體" w:eastAsia="標楷體" w:hAnsi="標楷體" w:hint="eastAsia"/>
          <w:sz w:val="28"/>
          <w:szCs w:val="28"/>
        </w:rPr>
        <w:t>得通知限期補正；逾期未補正者，不予受理。</w:t>
      </w:r>
    </w:p>
    <w:p w14:paraId="47684501" w14:textId="77777777" w:rsidR="00B52F45" w:rsidRDefault="00B52F45" w:rsidP="00B52F45">
      <w:pPr>
        <w:spacing w:line="460" w:lineRule="exact"/>
        <w:ind w:left="848" w:hangingChars="303" w:hanging="84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第五條</w:t>
      </w:r>
      <w:r>
        <w:rPr>
          <w:rFonts w:ascii="標楷體" w:eastAsia="標楷體" w:hAnsi="標楷體" w:hint="eastAsia"/>
          <w:sz w:val="28"/>
          <w:szCs w:val="28"/>
        </w:rPr>
        <w:t xml:space="preserve">　　申請補助之計畫書或成果報告書執行期間應介於申請當　　　年度一月一日至當年度十二月二十日。</w:t>
      </w:r>
    </w:p>
    <w:p w14:paraId="062C1E52" w14:textId="77777777" w:rsidR="00B52F45" w:rsidRDefault="00B52F45" w:rsidP="00B52F45">
      <w:pPr>
        <w:spacing w:line="460" w:lineRule="exact"/>
        <w:ind w:leftChars="353" w:left="848" w:hanging="1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申請補助之計畫書或成果報告書所載行銷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，其中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本</w:t>
      </w:r>
      <w:r>
        <w:rPr>
          <w:rFonts w:ascii="標楷體" w:eastAsia="標楷體" w:hAnsi="標楷體" w:hint="eastAsia"/>
          <w:sz w:val="28"/>
          <w:szCs w:val="28"/>
        </w:rPr>
        <w:t>市之場次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應占</w:t>
      </w:r>
      <w:r>
        <w:rPr>
          <w:rFonts w:ascii="標楷體" w:eastAsia="標楷體" w:hAnsi="標楷體" w:hint="eastAsia"/>
          <w:sz w:val="28"/>
          <w:szCs w:val="28"/>
        </w:rPr>
        <w:t>總場次百分之七十以上。</w:t>
      </w:r>
    </w:p>
    <w:p w14:paraId="6593D2EE" w14:textId="77777777" w:rsidR="00B52F45" w:rsidRDefault="00B52F45" w:rsidP="00B52F45">
      <w:pPr>
        <w:spacing w:line="460" w:lineRule="exact"/>
        <w:ind w:left="848" w:hangingChars="303" w:hanging="84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第六條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辦理硬地音樂行銷活動得依本辦法申請補助</w:t>
      </w:r>
      <w:r>
        <w:rPr>
          <w:rFonts w:ascii="標楷體" w:eastAsia="標楷體" w:hAnsi="標楷體" w:hint="eastAsia"/>
          <w:sz w:val="28"/>
          <w:szCs w:val="28"/>
        </w:rPr>
        <w:t>之費用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如下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730FD591" w14:textId="77777777" w:rsidR="00B52F45" w:rsidRDefault="00B52F45" w:rsidP="00B52F45">
      <w:pPr>
        <w:pStyle w:val="a7"/>
        <w:numPr>
          <w:ilvl w:val="0"/>
          <w:numId w:val="4"/>
        </w:numPr>
        <w:spacing w:line="460" w:lineRule="exact"/>
        <w:ind w:leftChars="591" w:left="1984" w:hangingChars="202" w:hanging="566"/>
        <w:jc w:val="both"/>
        <w:rPr>
          <w:rFonts w:ascii="標楷體" w:eastAsia="標楷體" w:hAnsi="標楷體" w:hint="eastAsia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旅運費：車資及旅費等相關費用。</w:t>
      </w:r>
    </w:p>
    <w:p w14:paraId="4181051A" w14:textId="77777777" w:rsidR="00B52F45" w:rsidRDefault="00B52F45" w:rsidP="00B52F45">
      <w:pPr>
        <w:pStyle w:val="a7"/>
        <w:numPr>
          <w:ilvl w:val="0"/>
          <w:numId w:val="4"/>
        </w:numPr>
        <w:spacing w:line="460" w:lineRule="exact"/>
        <w:ind w:leftChars="591" w:left="1984" w:hangingChars="202" w:hanging="566"/>
        <w:jc w:val="both"/>
        <w:rPr>
          <w:rFonts w:ascii="標楷體" w:eastAsia="標楷體" w:hAnsi="標楷體" w:hint="eastAsia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業務費：舞台、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文宣品</w:t>
      </w:r>
      <w:r>
        <w:rPr>
          <w:rFonts w:ascii="標楷體" w:eastAsia="標楷體" w:hAnsi="標楷體" w:hint="eastAsia"/>
          <w:sz w:val="28"/>
          <w:szCs w:val="28"/>
        </w:rPr>
        <w:t>設計製作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費</w:t>
      </w:r>
      <w:r>
        <w:rPr>
          <w:rFonts w:ascii="標楷體" w:eastAsia="標楷體" w:hAnsi="標楷體" w:hint="eastAsia"/>
          <w:sz w:val="28"/>
          <w:szCs w:val="28"/>
        </w:rPr>
        <w:t>、節目規劃費、活動設計費、場地、設備器材租借費、行銷宣傳費、翻譯費、編輯費、排練費、演出費等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相關費用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外國籍演出者演出費比例，不得逾核准補助金額三分之一。</w:t>
      </w:r>
    </w:p>
    <w:p w14:paraId="0DAD7FCE" w14:textId="77777777" w:rsidR="00B52F45" w:rsidRDefault="00B52F45" w:rsidP="00B52F45">
      <w:pPr>
        <w:pStyle w:val="a7"/>
        <w:numPr>
          <w:ilvl w:val="0"/>
          <w:numId w:val="4"/>
        </w:numPr>
        <w:spacing w:line="460" w:lineRule="exact"/>
        <w:ind w:leftChars="591" w:left="1984" w:hangingChars="202" w:hanging="566"/>
        <w:jc w:val="both"/>
        <w:rPr>
          <w:rFonts w:ascii="標楷體" w:eastAsia="標楷體" w:hAnsi="標楷體" w:hint="eastAsia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食宿費：餐費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>
        <w:rPr>
          <w:rFonts w:ascii="標楷體" w:eastAsia="標楷體" w:hAnsi="標楷體" w:hint="eastAsia"/>
          <w:sz w:val="28"/>
          <w:szCs w:val="28"/>
        </w:rPr>
        <w:t>住宿費等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相關費用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40CAEA4" w14:textId="77777777" w:rsidR="00B52F45" w:rsidRDefault="00B52F45" w:rsidP="00B52F45">
      <w:pPr>
        <w:pStyle w:val="a7"/>
        <w:numPr>
          <w:ilvl w:val="0"/>
          <w:numId w:val="4"/>
        </w:numPr>
        <w:spacing w:line="460" w:lineRule="exact"/>
        <w:ind w:leftChars="591" w:left="1984" w:hangingChars="202" w:hanging="566"/>
        <w:jc w:val="both"/>
        <w:rPr>
          <w:rFonts w:ascii="標楷體" w:eastAsia="標楷體" w:hAnsi="標楷體" w:hint="eastAsia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其他經新聞局認定得補助之項目。</w:t>
      </w:r>
    </w:p>
    <w:p w14:paraId="0594BB40" w14:textId="77777777" w:rsidR="00B52F45" w:rsidRDefault="00B52F45" w:rsidP="00B52F45">
      <w:pPr>
        <w:pStyle w:val="a7"/>
        <w:spacing w:line="460" w:lineRule="exact"/>
        <w:ind w:left="1" w:firstLineChars="506" w:firstLine="141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前項費用不包含下列項目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35E0286B" w14:textId="77777777" w:rsidR="00B52F45" w:rsidRDefault="00B52F45" w:rsidP="00B52F45">
      <w:pPr>
        <w:spacing w:line="460" w:lineRule="exact"/>
        <w:ind w:leftChars="-236" w:left="1416" w:hangingChars="708" w:hanging="1982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人事費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工作人員之薪資或酬勞性費用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37B641D" w14:textId="77777777" w:rsidR="00B52F45" w:rsidRDefault="00B52F45" w:rsidP="00B52F45">
      <w:pPr>
        <w:spacing w:line="460" w:lineRule="exact"/>
        <w:jc w:val="both"/>
        <w:rPr>
          <w:rFonts w:ascii="標楷體" w:eastAsia="標楷體" w:hAnsi="標楷體" w:hint="eastAsia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事務費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經常性行政管理費用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FBCA52B" w14:textId="77777777" w:rsidR="00B52F45" w:rsidRDefault="00B52F45" w:rsidP="00B52F45">
      <w:pPr>
        <w:spacing w:line="460" w:lineRule="exact"/>
        <w:ind w:left="848" w:hangingChars="303" w:hanging="84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第七條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新聞局為辦理依本辦法申請補助案件之審查及核定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應組成評選委員會</w:t>
      </w:r>
      <w:r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其設置要點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由新聞局另定之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3194D8B" w14:textId="77777777" w:rsidR="00B52F45" w:rsidRDefault="00B52F45" w:rsidP="00B52F45">
      <w:pPr>
        <w:suppressAutoHyphens w:val="0"/>
        <w:spacing w:line="460" w:lineRule="exact"/>
        <w:ind w:left="848" w:hangingChars="303" w:hanging="84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評選委員會應就</w:t>
      </w:r>
      <w:r>
        <w:rPr>
          <w:rFonts w:ascii="標楷體" w:eastAsia="標楷體" w:hAnsi="標楷體" w:hint="eastAsia"/>
          <w:sz w:val="28"/>
          <w:szCs w:val="28"/>
        </w:rPr>
        <w:t>計畫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書</w:t>
      </w:r>
      <w:r>
        <w:rPr>
          <w:rFonts w:ascii="標楷體" w:eastAsia="標楷體" w:hAnsi="標楷體" w:hint="eastAsia"/>
          <w:sz w:val="28"/>
          <w:szCs w:val="28"/>
        </w:rPr>
        <w:t>或成果報告書內容之影響力、在地性、發展性、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行銷效益及經費編列合理性等標準綜合審查。</w:t>
      </w:r>
    </w:p>
    <w:p w14:paraId="5CC0AF0D" w14:textId="77777777" w:rsidR="00B52F45" w:rsidRDefault="00B52F45" w:rsidP="00B52F45">
      <w:pPr>
        <w:suppressAutoHyphens w:val="0"/>
        <w:spacing w:line="46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前項</w:t>
      </w:r>
      <w:r>
        <w:rPr>
          <w:rFonts w:ascii="標楷體" w:eastAsia="標楷體" w:hAnsi="標楷體" w:hint="eastAsia"/>
          <w:sz w:val="28"/>
          <w:szCs w:val="28"/>
        </w:rPr>
        <w:t>審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查</w:t>
      </w:r>
      <w:r>
        <w:rPr>
          <w:rFonts w:ascii="標楷體" w:eastAsia="標楷體" w:hAnsi="標楷體" w:hint="eastAsia"/>
          <w:sz w:val="28"/>
          <w:szCs w:val="28"/>
        </w:rPr>
        <w:t>結果經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新聞局核定</w:t>
      </w:r>
      <w:r>
        <w:rPr>
          <w:rFonts w:ascii="標楷體" w:eastAsia="標楷體" w:hAnsi="標楷體" w:hint="eastAsia"/>
          <w:sz w:val="28"/>
          <w:szCs w:val="28"/>
        </w:rPr>
        <w:t>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公告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並函知申請補助者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7087297" w14:textId="77777777" w:rsidR="00B52F45" w:rsidRDefault="00B52F45" w:rsidP="00B52F45">
      <w:pPr>
        <w:spacing w:line="460" w:lineRule="exact"/>
        <w:ind w:left="848" w:hangingChars="303" w:hanging="84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第八條</w:t>
      </w:r>
      <w:r>
        <w:rPr>
          <w:rFonts w:ascii="標楷體" w:eastAsia="標楷體" w:hAnsi="標楷體" w:hint="eastAsia"/>
          <w:sz w:val="28"/>
          <w:szCs w:val="28"/>
        </w:rPr>
        <w:t xml:space="preserve">　　每一申請案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件</w:t>
      </w:r>
      <w:r>
        <w:rPr>
          <w:rFonts w:ascii="標楷體" w:eastAsia="標楷體" w:hAnsi="標楷體" w:hint="eastAsia"/>
          <w:sz w:val="28"/>
          <w:szCs w:val="28"/>
        </w:rPr>
        <w:t>補助金額不得逾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新聞局</w:t>
      </w:r>
      <w:r>
        <w:rPr>
          <w:rFonts w:ascii="標楷體" w:eastAsia="標楷體" w:hAnsi="標楷體" w:hint="eastAsia"/>
          <w:sz w:val="28"/>
          <w:szCs w:val="28"/>
        </w:rPr>
        <w:t>核定其計畫書所附經費預估表，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或成果報告書所附經費支出明細表</w:t>
      </w:r>
      <w:r>
        <w:rPr>
          <w:rFonts w:ascii="標楷體" w:eastAsia="標楷體" w:hAnsi="標楷體" w:hint="eastAsia"/>
          <w:sz w:val="28"/>
          <w:szCs w:val="28"/>
        </w:rPr>
        <w:t>總經費之百分之四十九，且補助額度以新臺幣五十萬元為限。但經專案核准者，不在此限。</w:t>
      </w:r>
    </w:p>
    <w:p w14:paraId="4A210823" w14:textId="77777777" w:rsidR="00B52F45" w:rsidRDefault="00B52F45" w:rsidP="00B52F45">
      <w:pPr>
        <w:spacing w:line="46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第九條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獲補助者應配合辦理下列事項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7041F52A" w14:textId="77777777" w:rsidR="00B52F45" w:rsidRDefault="00B52F45" w:rsidP="00B52F45">
      <w:pPr>
        <w:pStyle w:val="a7"/>
        <w:numPr>
          <w:ilvl w:val="0"/>
          <w:numId w:val="5"/>
        </w:numPr>
        <w:spacing w:line="460" w:lineRule="exact"/>
        <w:ind w:leftChars="592" w:left="1984" w:hangingChars="201" w:hanging="563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演出及行銷宣傳相關文宣品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須</w:t>
      </w:r>
      <w:r>
        <w:rPr>
          <w:rFonts w:ascii="標楷體" w:eastAsia="標楷體" w:hAnsi="標楷體" w:hint="eastAsia"/>
          <w:sz w:val="28"/>
          <w:szCs w:val="28"/>
        </w:rPr>
        <w:t>標示「臺中市政府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新聞局</w:t>
      </w:r>
      <w:r>
        <w:rPr>
          <w:rFonts w:ascii="標楷體" w:eastAsia="標楷體" w:hAnsi="標楷體" w:hint="eastAsia"/>
          <w:sz w:val="28"/>
          <w:szCs w:val="28"/>
        </w:rPr>
        <w:t>」識別文字與圖樣，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標示方式、</w:t>
      </w:r>
      <w:r>
        <w:rPr>
          <w:rFonts w:ascii="標楷體" w:eastAsia="標楷體" w:hAnsi="標楷體" w:hint="eastAsia"/>
          <w:sz w:val="28"/>
          <w:szCs w:val="28"/>
        </w:rPr>
        <w:t>識別文字及圖</w:t>
      </w:r>
      <w:r>
        <w:rPr>
          <w:rFonts w:ascii="標楷體" w:eastAsia="標楷體" w:hAnsi="標楷體" w:hint="eastAsia"/>
          <w:sz w:val="28"/>
          <w:szCs w:val="28"/>
        </w:rPr>
        <w:lastRenderedPageBreak/>
        <w:t>樣由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新聞局</w:t>
      </w:r>
      <w:r>
        <w:rPr>
          <w:rFonts w:ascii="標楷體" w:eastAsia="標楷體" w:hAnsi="標楷體" w:hint="eastAsia"/>
          <w:sz w:val="28"/>
          <w:szCs w:val="28"/>
        </w:rPr>
        <w:t>提供。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但已執行完畢者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不在此限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D672CEB" w14:textId="77777777" w:rsidR="00B52F45" w:rsidRDefault="00B52F45" w:rsidP="00B52F45">
      <w:pPr>
        <w:pStyle w:val="a7"/>
        <w:numPr>
          <w:ilvl w:val="0"/>
          <w:numId w:val="5"/>
        </w:numPr>
        <w:spacing w:line="460" w:lineRule="exact"/>
        <w:ind w:left="1985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相關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活動或行銷宣</w:t>
      </w:r>
      <w:r>
        <w:rPr>
          <w:rFonts w:ascii="標楷體" w:eastAsia="標楷體" w:hAnsi="標楷體" w:hint="eastAsia"/>
          <w:sz w:val="28"/>
          <w:szCs w:val="28"/>
        </w:rPr>
        <w:t>傳辦理前，主動知會或邀請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新聞局</w:t>
      </w:r>
      <w:r>
        <w:rPr>
          <w:rFonts w:ascii="標楷體" w:eastAsia="標楷體" w:hAnsi="標楷體" w:hint="eastAsia"/>
          <w:sz w:val="28"/>
          <w:szCs w:val="28"/>
        </w:rPr>
        <w:t>參與。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但已執行完畢者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不在此限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A32F322" w14:textId="77777777" w:rsidR="00B52F45" w:rsidRDefault="00B52F45" w:rsidP="00B52F45">
      <w:pPr>
        <w:pStyle w:val="a7"/>
        <w:numPr>
          <w:ilvl w:val="0"/>
          <w:numId w:val="5"/>
        </w:numPr>
        <w:spacing w:line="460" w:lineRule="exact"/>
        <w:ind w:left="1985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配合新聞局之</w:t>
      </w:r>
      <w:r>
        <w:rPr>
          <w:rFonts w:ascii="標楷體" w:eastAsia="標楷體" w:hAnsi="標楷體" w:hint="eastAsia"/>
          <w:sz w:val="28"/>
          <w:szCs w:val="28"/>
        </w:rPr>
        <w:t>要求，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於活動</w:t>
      </w:r>
      <w:r>
        <w:rPr>
          <w:rFonts w:ascii="標楷體" w:eastAsia="標楷體" w:hAnsi="標楷體" w:hint="eastAsia"/>
          <w:sz w:val="28"/>
          <w:szCs w:val="28"/>
        </w:rPr>
        <w:t>期間協助宣傳本市硬地音樂發展政策。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但已執行完畢者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不在此限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FA64F4B" w14:textId="77777777" w:rsidR="00B52F45" w:rsidRDefault="00B52F45" w:rsidP="00B52F45">
      <w:pPr>
        <w:pStyle w:val="a7"/>
        <w:numPr>
          <w:ilvl w:val="0"/>
          <w:numId w:val="5"/>
        </w:numPr>
        <w:spacing w:line="460" w:lineRule="exact"/>
        <w:ind w:left="1985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供</w:t>
      </w:r>
      <w:r>
        <w:rPr>
          <w:rFonts w:ascii="標楷體" w:eastAsia="標楷體" w:hAnsi="標楷體" w:hint="eastAsia"/>
          <w:sz w:val="28"/>
          <w:szCs w:val="28"/>
        </w:rPr>
        <w:t>相關演出資料作為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新聞局</w:t>
      </w:r>
      <w:r>
        <w:rPr>
          <w:rFonts w:ascii="標楷體" w:eastAsia="標楷體" w:hAnsi="標楷體" w:hint="eastAsia"/>
          <w:sz w:val="28"/>
          <w:szCs w:val="28"/>
        </w:rPr>
        <w:t>非營利性之運用。</w:t>
      </w:r>
    </w:p>
    <w:p w14:paraId="6A3CD852" w14:textId="77777777" w:rsidR="00B52F45" w:rsidRDefault="00B52F45" w:rsidP="00B52F45">
      <w:pPr>
        <w:pStyle w:val="a7"/>
        <w:numPr>
          <w:ilvl w:val="0"/>
          <w:numId w:val="5"/>
        </w:numPr>
        <w:spacing w:line="460" w:lineRule="exact"/>
        <w:ind w:left="1985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他經新聞局</w:t>
      </w:r>
      <w:r>
        <w:rPr>
          <w:rFonts w:ascii="標楷體" w:eastAsia="標楷體" w:hAnsi="標楷體" w:hint="eastAsia"/>
          <w:sz w:val="28"/>
          <w:szCs w:val="28"/>
        </w:rPr>
        <w:t>指定之事項。</w:t>
      </w:r>
    </w:p>
    <w:p w14:paraId="3B43A718" w14:textId="77777777" w:rsidR="00B52F45" w:rsidRDefault="00B52F45" w:rsidP="00B52F45">
      <w:pPr>
        <w:spacing w:line="460" w:lineRule="exact"/>
        <w:ind w:left="848" w:hangingChars="303" w:hanging="84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第十條</w:t>
      </w:r>
      <w:r>
        <w:rPr>
          <w:rFonts w:ascii="標楷體" w:eastAsia="標楷體" w:hAnsi="標楷體" w:hint="eastAsia"/>
          <w:sz w:val="28"/>
          <w:szCs w:val="28"/>
        </w:rPr>
        <w:t xml:space="preserve">　　獲補助者應檢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附</w:t>
      </w:r>
      <w:r>
        <w:rPr>
          <w:rFonts w:ascii="標楷體" w:eastAsia="標楷體" w:hAnsi="標楷體" w:hint="eastAsia"/>
          <w:sz w:val="28"/>
          <w:szCs w:val="28"/>
        </w:rPr>
        <w:t>下列文件送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新聞局</w:t>
      </w:r>
      <w:r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核</w:t>
      </w:r>
      <w:r>
        <w:rPr>
          <w:rFonts w:ascii="標楷體" w:eastAsia="標楷體" w:hAnsi="標楷體" w:hint="eastAsia"/>
          <w:sz w:val="28"/>
          <w:szCs w:val="28"/>
        </w:rPr>
        <w:t>銷後發給補助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款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2D6E0D60" w14:textId="77777777" w:rsidR="00B52F45" w:rsidRDefault="00B52F45" w:rsidP="00B52F45">
      <w:pPr>
        <w:pStyle w:val="a7"/>
        <w:numPr>
          <w:ilvl w:val="0"/>
          <w:numId w:val="6"/>
        </w:numPr>
        <w:spacing w:line="460" w:lineRule="exact"/>
        <w:ind w:left="1985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領據。</w:t>
      </w:r>
    </w:p>
    <w:p w14:paraId="7203E48D" w14:textId="77777777" w:rsidR="00B52F45" w:rsidRDefault="00B52F45" w:rsidP="00B52F45">
      <w:pPr>
        <w:pStyle w:val="a7"/>
        <w:numPr>
          <w:ilvl w:val="0"/>
          <w:numId w:val="6"/>
        </w:numPr>
        <w:spacing w:line="460" w:lineRule="exact"/>
        <w:ind w:left="1985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經費支出明細表。</w:t>
      </w:r>
    </w:p>
    <w:p w14:paraId="1A63FCC5" w14:textId="77777777" w:rsidR="00B52F45" w:rsidRDefault="00B52F45" w:rsidP="00B52F45">
      <w:pPr>
        <w:pStyle w:val="a7"/>
        <w:numPr>
          <w:ilvl w:val="0"/>
          <w:numId w:val="6"/>
        </w:numPr>
        <w:spacing w:line="460" w:lineRule="exact"/>
        <w:ind w:left="1985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成果報告書。</w:t>
      </w:r>
    </w:p>
    <w:p w14:paraId="08E4DBAD" w14:textId="77777777" w:rsidR="00B52F45" w:rsidRDefault="00B52F45" w:rsidP="00B52F45">
      <w:pPr>
        <w:spacing w:line="460" w:lineRule="exact"/>
        <w:ind w:left="848" w:hangingChars="303" w:hanging="84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申請案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件</w:t>
      </w:r>
      <w:r>
        <w:rPr>
          <w:rFonts w:ascii="標楷體" w:eastAsia="標楷體" w:hAnsi="標楷體" w:hint="eastAsia"/>
          <w:sz w:val="28"/>
          <w:szCs w:val="28"/>
        </w:rPr>
        <w:t>執行完畢時間為十二月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份</w:t>
      </w:r>
      <w:r>
        <w:rPr>
          <w:rFonts w:ascii="標楷體" w:eastAsia="標楷體" w:hAnsi="標楷體" w:hint="eastAsia"/>
          <w:sz w:val="28"/>
          <w:szCs w:val="28"/>
        </w:rPr>
        <w:t>者，應於當年度十二月三十一日前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向新聞局辦理核銷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ECC219C" w14:textId="77777777" w:rsidR="00B52F45" w:rsidRDefault="00B52F45" w:rsidP="00B52F45">
      <w:pPr>
        <w:spacing w:line="460" w:lineRule="exact"/>
        <w:ind w:left="848" w:hangingChars="303" w:hanging="848"/>
        <w:jc w:val="both"/>
        <w:rPr>
          <w:rFonts w:ascii="標楷體" w:eastAsia="標楷體" w:hAnsi="標楷體" w:hint="eastAsia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受補助經費結報時，所檢附之支出憑證應依政府支出憑證處理要點規定辦理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並應詳列支出用途及全部實支經費總額。</w:t>
      </w:r>
    </w:p>
    <w:p w14:paraId="08324C7F" w14:textId="77777777" w:rsidR="00B52F45" w:rsidRDefault="00B52F45" w:rsidP="00B52F45">
      <w:pPr>
        <w:spacing w:line="460" w:lineRule="exact"/>
        <w:ind w:left="848" w:hangingChars="303" w:hanging="84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獲補助者留存補助案之原始憑證，應依會計法規定妥善保存與銷毀，已屆保存年限之銷毀，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應函報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新聞局轉請審計機關同意。如遇有提前銷毀，或有毀損、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滅失等情事</w:t>
      </w:r>
      <w:proofErr w:type="gramEnd"/>
      <w:r>
        <w:rPr>
          <w:rFonts w:ascii="標楷體" w:eastAsia="標楷體" w:hAnsi="標楷體" w:hint="eastAsia"/>
          <w:sz w:val="28"/>
          <w:szCs w:val="28"/>
        </w:rPr>
        <w:t>時，應敘明原因及處理情形，函報新聞局轉請審計機關同意。</w:t>
      </w:r>
    </w:p>
    <w:p w14:paraId="0CAD4A0E" w14:textId="77777777" w:rsidR="00B52F45" w:rsidRDefault="00B52F45" w:rsidP="00B52F45">
      <w:pPr>
        <w:spacing w:line="460" w:lineRule="exact"/>
        <w:ind w:left="848" w:hangingChars="303" w:hanging="848"/>
        <w:jc w:val="both"/>
        <w:rPr>
          <w:rFonts w:ascii="標楷體" w:eastAsia="標楷體" w:hAnsi="標楷體" w:hint="eastAsia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獲補助者申請支付款項時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應本誠信原則提出支出憑證，並就其真實性負責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如有不實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應負相關責任。</w:t>
      </w:r>
    </w:p>
    <w:p w14:paraId="6EFEAB1D" w14:textId="77777777" w:rsidR="00B52F45" w:rsidRDefault="00B52F45" w:rsidP="00B52F45">
      <w:pPr>
        <w:spacing w:line="460" w:lineRule="exact"/>
        <w:ind w:left="1134" w:hangingChars="405" w:hanging="1134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第十一條</w:t>
      </w:r>
      <w:r>
        <w:rPr>
          <w:rFonts w:ascii="標楷體" w:eastAsia="標楷體" w:hAnsi="標楷體" w:hint="eastAsia"/>
          <w:sz w:val="28"/>
          <w:szCs w:val="28"/>
        </w:rPr>
        <w:t xml:space="preserve">　　經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新聞局</w:t>
      </w:r>
      <w:r>
        <w:rPr>
          <w:rFonts w:ascii="標楷體" w:eastAsia="標楷體" w:hAnsi="標楷體" w:hint="eastAsia"/>
          <w:sz w:val="28"/>
          <w:szCs w:val="28"/>
        </w:rPr>
        <w:t>核定補助之計畫書有變更活動內容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或</w:t>
      </w:r>
      <w:r>
        <w:rPr>
          <w:rFonts w:ascii="標楷體" w:eastAsia="標楷體" w:hAnsi="標楷體" w:hint="eastAsia"/>
          <w:sz w:val="28"/>
          <w:szCs w:val="28"/>
        </w:rPr>
        <w:t>期程　　　　者，應先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敍明理由</w:t>
      </w:r>
      <w:r>
        <w:rPr>
          <w:rFonts w:ascii="標楷體" w:eastAsia="標楷體" w:hAnsi="標楷體" w:hint="eastAsia"/>
          <w:sz w:val="28"/>
          <w:szCs w:val="28"/>
        </w:rPr>
        <w:t>函報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新聞局同意後始得變更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AF761EF" w14:textId="77777777" w:rsidR="00B52F45" w:rsidRDefault="00B52F45" w:rsidP="00B52F45">
      <w:pPr>
        <w:spacing w:line="460" w:lineRule="exact"/>
        <w:ind w:left="1134" w:hangingChars="405" w:hanging="1134"/>
        <w:jc w:val="both"/>
        <w:rPr>
          <w:rFonts w:ascii="標楷體" w:eastAsia="標楷體" w:hAnsi="標楷體" w:hint="eastAsia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第十二條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獲補助者有下列情形之一者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新聞局得視情節輕重</w:t>
      </w:r>
      <w:r>
        <w:rPr>
          <w:rFonts w:ascii="標楷體" w:eastAsia="標楷體" w:hAnsi="標楷體" w:hint="eastAsia"/>
          <w:sz w:val="28"/>
          <w:szCs w:val="28"/>
        </w:rPr>
        <w:t xml:space="preserve">，　　　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撤銷或廢止原核定之補助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並追回部分或全部補助款：</w:t>
      </w:r>
    </w:p>
    <w:p w14:paraId="3F74E4F7" w14:textId="77777777" w:rsidR="00B52F45" w:rsidRDefault="00B52F45" w:rsidP="00B52F45">
      <w:pPr>
        <w:pStyle w:val="a7"/>
        <w:numPr>
          <w:ilvl w:val="0"/>
          <w:numId w:val="7"/>
        </w:numPr>
        <w:spacing w:line="460" w:lineRule="exact"/>
        <w:ind w:left="2268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申請文件、資料或核銷單據有隱匿、虛偽等不實情事。</w:t>
      </w:r>
    </w:p>
    <w:p w14:paraId="0280BB17" w14:textId="77777777" w:rsidR="00B52F45" w:rsidRDefault="00B52F45" w:rsidP="00B52F45">
      <w:pPr>
        <w:pStyle w:val="a7"/>
        <w:numPr>
          <w:ilvl w:val="0"/>
          <w:numId w:val="7"/>
        </w:numPr>
        <w:spacing w:line="460" w:lineRule="exact"/>
        <w:ind w:left="2268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拒絕接受查核或辦理績效不彰。</w:t>
      </w:r>
    </w:p>
    <w:p w14:paraId="1F960F4A" w14:textId="77777777" w:rsidR="00B52F45" w:rsidRDefault="00B52F45" w:rsidP="00B52F45">
      <w:pPr>
        <w:pStyle w:val="a7"/>
        <w:numPr>
          <w:ilvl w:val="0"/>
          <w:numId w:val="7"/>
        </w:numPr>
        <w:spacing w:line="460" w:lineRule="exact"/>
        <w:ind w:left="2268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未依計畫內容確實執行。</w:t>
      </w:r>
    </w:p>
    <w:p w14:paraId="5AD54A9F" w14:textId="77777777" w:rsidR="00B52F45" w:rsidRDefault="00B52F45" w:rsidP="00B52F45">
      <w:pPr>
        <w:pStyle w:val="a7"/>
        <w:numPr>
          <w:ilvl w:val="0"/>
          <w:numId w:val="7"/>
        </w:numPr>
        <w:spacing w:line="460" w:lineRule="exact"/>
        <w:ind w:left="2268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未經新聞局同意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擅自變更計畫。</w:t>
      </w:r>
    </w:p>
    <w:p w14:paraId="439CA435" w14:textId="77777777" w:rsidR="00B52F45" w:rsidRDefault="00B52F45" w:rsidP="00B52F45">
      <w:pPr>
        <w:pStyle w:val="a7"/>
        <w:numPr>
          <w:ilvl w:val="0"/>
          <w:numId w:val="7"/>
        </w:numPr>
        <w:spacing w:line="460" w:lineRule="exact"/>
        <w:ind w:left="2268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以同一活動計畫書或成果報告書獲得其他政府機關（構）、政府捐助成立之財團法人、國家表演藝術中心或新聞局其他補（捐）助。</w:t>
      </w:r>
    </w:p>
    <w:p w14:paraId="6B54550D" w14:textId="77777777" w:rsidR="00B52F45" w:rsidRDefault="00B52F45" w:rsidP="00B52F45">
      <w:pPr>
        <w:pStyle w:val="a7"/>
        <w:numPr>
          <w:ilvl w:val="0"/>
          <w:numId w:val="7"/>
        </w:numPr>
        <w:spacing w:line="460" w:lineRule="exact"/>
        <w:ind w:left="2268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違反法令或新聞局其他相關規定。</w:t>
      </w:r>
    </w:p>
    <w:p w14:paraId="1D4FBEB9" w14:textId="77777777" w:rsidR="00B52F45" w:rsidRDefault="00B52F45" w:rsidP="00B52F45">
      <w:pPr>
        <w:spacing w:line="460" w:lineRule="exact"/>
        <w:jc w:val="both"/>
        <w:rPr>
          <w:rFonts w:ascii="標楷體" w:eastAsia="標楷體" w:hAnsi="標楷體" w:hint="eastAsia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第十三條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本辦法所需書表格式，由新聞局另定之。</w:t>
      </w:r>
    </w:p>
    <w:p w14:paraId="1754815F" w14:textId="77777777" w:rsidR="00B52F45" w:rsidRDefault="00B52F45" w:rsidP="00B52F45">
      <w:pPr>
        <w:spacing w:line="46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第十四條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本辦法自發布日施行。</w:t>
      </w:r>
    </w:p>
    <w:p w14:paraId="42AC7984" w14:textId="77777777" w:rsidR="004C6036" w:rsidRPr="00B52F45" w:rsidRDefault="004C6036"/>
    <w:sectPr w:rsidR="004C6036" w:rsidRPr="00B52F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8B5D3" w14:textId="77777777" w:rsidR="00FF550D" w:rsidRDefault="00FF550D" w:rsidP="00B52F45">
      <w:r>
        <w:separator/>
      </w:r>
    </w:p>
  </w:endnote>
  <w:endnote w:type="continuationSeparator" w:id="0">
    <w:p w14:paraId="7D4C243C" w14:textId="77777777" w:rsidR="00FF550D" w:rsidRDefault="00FF550D" w:rsidP="00B5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1FBB1" w14:textId="77777777" w:rsidR="00FF550D" w:rsidRDefault="00FF550D" w:rsidP="00B52F45">
      <w:r>
        <w:separator/>
      </w:r>
    </w:p>
  </w:footnote>
  <w:footnote w:type="continuationSeparator" w:id="0">
    <w:p w14:paraId="127FC94F" w14:textId="77777777" w:rsidR="00FF550D" w:rsidRDefault="00FF550D" w:rsidP="00B5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57185"/>
    <w:multiLevelType w:val="hybridMultilevel"/>
    <w:tmpl w:val="7E286862"/>
    <w:lvl w:ilvl="0" w:tplc="15DE529C">
      <w:start w:val="1"/>
      <w:numFmt w:val="taiwaneseCountingThousand"/>
      <w:lvlText w:val="%1、"/>
      <w:lvlJc w:val="left"/>
      <w:pPr>
        <w:ind w:left="1754" w:hanging="480"/>
      </w:pPr>
    </w:lvl>
    <w:lvl w:ilvl="1" w:tplc="04090019">
      <w:start w:val="1"/>
      <w:numFmt w:val="ideographTraditional"/>
      <w:lvlText w:val="%2、"/>
      <w:lvlJc w:val="left"/>
      <w:pPr>
        <w:ind w:left="2234" w:hanging="480"/>
      </w:pPr>
    </w:lvl>
    <w:lvl w:ilvl="2" w:tplc="0409001B">
      <w:start w:val="1"/>
      <w:numFmt w:val="lowerRoman"/>
      <w:lvlText w:val="%3."/>
      <w:lvlJc w:val="right"/>
      <w:pPr>
        <w:ind w:left="2714" w:hanging="480"/>
      </w:pPr>
    </w:lvl>
    <w:lvl w:ilvl="3" w:tplc="0409000F">
      <w:start w:val="1"/>
      <w:numFmt w:val="decimal"/>
      <w:lvlText w:val="%4."/>
      <w:lvlJc w:val="left"/>
      <w:pPr>
        <w:ind w:left="3194" w:hanging="480"/>
      </w:pPr>
    </w:lvl>
    <w:lvl w:ilvl="4" w:tplc="04090019">
      <w:start w:val="1"/>
      <w:numFmt w:val="ideographTraditional"/>
      <w:lvlText w:val="%5、"/>
      <w:lvlJc w:val="left"/>
      <w:pPr>
        <w:ind w:left="3674" w:hanging="480"/>
      </w:pPr>
    </w:lvl>
    <w:lvl w:ilvl="5" w:tplc="0409001B">
      <w:start w:val="1"/>
      <w:numFmt w:val="lowerRoman"/>
      <w:lvlText w:val="%6."/>
      <w:lvlJc w:val="right"/>
      <w:pPr>
        <w:ind w:left="4154" w:hanging="480"/>
      </w:pPr>
    </w:lvl>
    <w:lvl w:ilvl="6" w:tplc="0409000F">
      <w:start w:val="1"/>
      <w:numFmt w:val="decimal"/>
      <w:lvlText w:val="%7."/>
      <w:lvlJc w:val="left"/>
      <w:pPr>
        <w:ind w:left="4634" w:hanging="480"/>
      </w:pPr>
    </w:lvl>
    <w:lvl w:ilvl="7" w:tplc="04090019">
      <w:start w:val="1"/>
      <w:numFmt w:val="ideographTraditional"/>
      <w:lvlText w:val="%8、"/>
      <w:lvlJc w:val="left"/>
      <w:pPr>
        <w:ind w:left="5114" w:hanging="480"/>
      </w:pPr>
    </w:lvl>
    <w:lvl w:ilvl="8" w:tplc="0409001B">
      <w:start w:val="1"/>
      <w:numFmt w:val="lowerRoman"/>
      <w:lvlText w:val="%9."/>
      <w:lvlJc w:val="right"/>
      <w:pPr>
        <w:ind w:left="5594" w:hanging="480"/>
      </w:pPr>
    </w:lvl>
  </w:abstractNum>
  <w:abstractNum w:abstractNumId="1" w15:restartNumberingAfterBreak="0">
    <w:nsid w:val="3CF838C6"/>
    <w:multiLevelType w:val="hybridMultilevel"/>
    <w:tmpl w:val="620CD5DE"/>
    <w:lvl w:ilvl="0" w:tplc="15DE529C">
      <w:start w:val="1"/>
      <w:numFmt w:val="taiwaneseCountingThousand"/>
      <w:lvlText w:val="%1、"/>
      <w:lvlJc w:val="left"/>
      <w:pPr>
        <w:ind w:left="1880" w:hanging="480"/>
      </w:pPr>
    </w:lvl>
    <w:lvl w:ilvl="1" w:tplc="04090019">
      <w:start w:val="1"/>
      <w:numFmt w:val="ideographTraditional"/>
      <w:lvlText w:val="%2、"/>
      <w:lvlJc w:val="left"/>
      <w:pPr>
        <w:ind w:left="2360" w:hanging="480"/>
      </w:pPr>
    </w:lvl>
    <w:lvl w:ilvl="2" w:tplc="0409001B">
      <w:start w:val="1"/>
      <w:numFmt w:val="lowerRoman"/>
      <w:lvlText w:val="%3."/>
      <w:lvlJc w:val="right"/>
      <w:pPr>
        <w:ind w:left="2840" w:hanging="480"/>
      </w:pPr>
    </w:lvl>
    <w:lvl w:ilvl="3" w:tplc="0409000F">
      <w:start w:val="1"/>
      <w:numFmt w:val="decimal"/>
      <w:lvlText w:val="%4."/>
      <w:lvlJc w:val="left"/>
      <w:pPr>
        <w:ind w:left="3320" w:hanging="480"/>
      </w:pPr>
    </w:lvl>
    <w:lvl w:ilvl="4" w:tplc="04090019">
      <w:start w:val="1"/>
      <w:numFmt w:val="ideographTraditional"/>
      <w:lvlText w:val="%5、"/>
      <w:lvlJc w:val="left"/>
      <w:pPr>
        <w:ind w:left="3800" w:hanging="480"/>
      </w:pPr>
    </w:lvl>
    <w:lvl w:ilvl="5" w:tplc="0409001B">
      <w:start w:val="1"/>
      <w:numFmt w:val="lowerRoman"/>
      <w:lvlText w:val="%6."/>
      <w:lvlJc w:val="right"/>
      <w:pPr>
        <w:ind w:left="4280" w:hanging="480"/>
      </w:pPr>
    </w:lvl>
    <w:lvl w:ilvl="6" w:tplc="0409000F">
      <w:start w:val="1"/>
      <w:numFmt w:val="decimal"/>
      <w:lvlText w:val="%7."/>
      <w:lvlJc w:val="left"/>
      <w:pPr>
        <w:ind w:left="4760" w:hanging="480"/>
      </w:pPr>
    </w:lvl>
    <w:lvl w:ilvl="7" w:tplc="04090019">
      <w:start w:val="1"/>
      <w:numFmt w:val="ideographTraditional"/>
      <w:lvlText w:val="%8、"/>
      <w:lvlJc w:val="left"/>
      <w:pPr>
        <w:ind w:left="5240" w:hanging="480"/>
      </w:pPr>
    </w:lvl>
    <w:lvl w:ilvl="8" w:tplc="0409001B">
      <w:start w:val="1"/>
      <w:numFmt w:val="lowerRoman"/>
      <w:lvlText w:val="%9."/>
      <w:lvlJc w:val="right"/>
      <w:pPr>
        <w:ind w:left="5720" w:hanging="480"/>
      </w:pPr>
    </w:lvl>
  </w:abstractNum>
  <w:abstractNum w:abstractNumId="2" w15:restartNumberingAfterBreak="0">
    <w:nsid w:val="4CF234DC"/>
    <w:multiLevelType w:val="hybridMultilevel"/>
    <w:tmpl w:val="77DCC796"/>
    <w:lvl w:ilvl="0" w:tplc="C44420BE">
      <w:start w:val="1"/>
      <w:numFmt w:val="taiwaneseCountingThousand"/>
      <w:lvlText w:val="(%1)"/>
      <w:lvlJc w:val="left"/>
      <w:pPr>
        <w:ind w:left="2702" w:hanging="720"/>
      </w:pPr>
    </w:lvl>
    <w:lvl w:ilvl="1" w:tplc="04090019">
      <w:start w:val="1"/>
      <w:numFmt w:val="ideographTraditional"/>
      <w:lvlText w:val="%2、"/>
      <w:lvlJc w:val="left"/>
      <w:pPr>
        <w:ind w:left="2942" w:hanging="480"/>
      </w:pPr>
    </w:lvl>
    <w:lvl w:ilvl="2" w:tplc="0409001B">
      <w:start w:val="1"/>
      <w:numFmt w:val="lowerRoman"/>
      <w:lvlText w:val="%3."/>
      <w:lvlJc w:val="right"/>
      <w:pPr>
        <w:ind w:left="3422" w:hanging="480"/>
      </w:pPr>
    </w:lvl>
    <w:lvl w:ilvl="3" w:tplc="0409000F">
      <w:start w:val="1"/>
      <w:numFmt w:val="decimal"/>
      <w:lvlText w:val="%4."/>
      <w:lvlJc w:val="left"/>
      <w:pPr>
        <w:ind w:left="3902" w:hanging="480"/>
      </w:pPr>
    </w:lvl>
    <w:lvl w:ilvl="4" w:tplc="04090019">
      <w:start w:val="1"/>
      <w:numFmt w:val="ideographTraditional"/>
      <w:lvlText w:val="%5、"/>
      <w:lvlJc w:val="left"/>
      <w:pPr>
        <w:ind w:left="4382" w:hanging="480"/>
      </w:pPr>
    </w:lvl>
    <w:lvl w:ilvl="5" w:tplc="0409001B">
      <w:start w:val="1"/>
      <w:numFmt w:val="lowerRoman"/>
      <w:lvlText w:val="%6."/>
      <w:lvlJc w:val="right"/>
      <w:pPr>
        <w:ind w:left="4862" w:hanging="480"/>
      </w:pPr>
    </w:lvl>
    <w:lvl w:ilvl="6" w:tplc="0409000F">
      <w:start w:val="1"/>
      <w:numFmt w:val="decimal"/>
      <w:lvlText w:val="%7."/>
      <w:lvlJc w:val="left"/>
      <w:pPr>
        <w:ind w:left="5342" w:hanging="480"/>
      </w:pPr>
    </w:lvl>
    <w:lvl w:ilvl="7" w:tplc="04090019">
      <w:start w:val="1"/>
      <w:numFmt w:val="ideographTraditional"/>
      <w:lvlText w:val="%8、"/>
      <w:lvlJc w:val="left"/>
      <w:pPr>
        <w:ind w:left="5822" w:hanging="480"/>
      </w:pPr>
    </w:lvl>
    <w:lvl w:ilvl="8" w:tplc="0409001B">
      <w:start w:val="1"/>
      <w:numFmt w:val="lowerRoman"/>
      <w:lvlText w:val="%9."/>
      <w:lvlJc w:val="right"/>
      <w:pPr>
        <w:ind w:left="6302" w:hanging="480"/>
      </w:pPr>
    </w:lvl>
  </w:abstractNum>
  <w:abstractNum w:abstractNumId="3" w15:restartNumberingAfterBreak="0">
    <w:nsid w:val="69053A27"/>
    <w:multiLevelType w:val="hybridMultilevel"/>
    <w:tmpl w:val="67848B06"/>
    <w:lvl w:ilvl="0" w:tplc="15DE529C">
      <w:start w:val="1"/>
      <w:numFmt w:val="taiwaneseCountingThousand"/>
      <w:lvlText w:val="%1、"/>
      <w:lvlJc w:val="left"/>
      <w:pPr>
        <w:ind w:left="1610" w:hanging="480"/>
      </w:pPr>
    </w:lvl>
    <w:lvl w:ilvl="1" w:tplc="04090019">
      <w:start w:val="1"/>
      <w:numFmt w:val="ideographTraditional"/>
      <w:lvlText w:val="%2、"/>
      <w:lvlJc w:val="left"/>
      <w:pPr>
        <w:ind w:left="2090" w:hanging="480"/>
      </w:pPr>
    </w:lvl>
    <w:lvl w:ilvl="2" w:tplc="0409001B">
      <w:start w:val="1"/>
      <w:numFmt w:val="lowerRoman"/>
      <w:lvlText w:val="%3."/>
      <w:lvlJc w:val="right"/>
      <w:pPr>
        <w:ind w:left="2570" w:hanging="480"/>
      </w:pPr>
    </w:lvl>
    <w:lvl w:ilvl="3" w:tplc="0409000F">
      <w:start w:val="1"/>
      <w:numFmt w:val="decimal"/>
      <w:lvlText w:val="%4."/>
      <w:lvlJc w:val="left"/>
      <w:pPr>
        <w:ind w:left="3050" w:hanging="480"/>
      </w:pPr>
    </w:lvl>
    <w:lvl w:ilvl="4" w:tplc="04090019">
      <w:start w:val="1"/>
      <w:numFmt w:val="ideographTraditional"/>
      <w:lvlText w:val="%5、"/>
      <w:lvlJc w:val="left"/>
      <w:pPr>
        <w:ind w:left="3530" w:hanging="480"/>
      </w:pPr>
    </w:lvl>
    <w:lvl w:ilvl="5" w:tplc="0409001B">
      <w:start w:val="1"/>
      <w:numFmt w:val="lowerRoman"/>
      <w:lvlText w:val="%6."/>
      <w:lvlJc w:val="right"/>
      <w:pPr>
        <w:ind w:left="4010" w:hanging="480"/>
      </w:pPr>
    </w:lvl>
    <w:lvl w:ilvl="6" w:tplc="0409000F">
      <w:start w:val="1"/>
      <w:numFmt w:val="decimal"/>
      <w:lvlText w:val="%7."/>
      <w:lvlJc w:val="left"/>
      <w:pPr>
        <w:ind w:left="4490" w:hanging="480"/>
      </w:pPr>
    </w:lvl>
    <w:lvl w:ilvl="7" w:tplc="04090019">
      <w:start w:val="1"/>
      <w:numFmt w:val="ideographTraditional"/>
      <w:lvlText w:val="%8、"/>
      <w:lvlJc w:val="left"/>
      <w:pPr>
        <w:ind w:left="4970" w:hanging="480"/>
      </w:pPr>
    </w:lvl>
    <w:lvl w:ilvl="8" w:tplc="0409001B">
      <w:start w:val="1"/>
      <w:numFmt w:val="lowerRoman"/>
      <w:lvlText w:val="%9."/>
      <w:lvlJc w:val="right"/>
      <w:pPr>
        <w:ind w:left="5450" w:hanging="480"/>
      </w:pPr>
    </w:lvl>
  </w:abstractNum>
  <w:abstractNum w:abstractNumId="4" w15:restartNumberingAfterBreak="0">
    <w:nsid w:val="6F2A6FFD"/>
    <w:multiLevelType w:val="hybridMultilevel"/>
    <w:tmpl w:val="3F2CD4B6"/>
    <w:lvl w:ilvl="0" w:tplc="15DE529C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CB190F"/>
    <w:multiLevelType w:val="hybridMultilevel"/>
    <w:tmpl w:val="2C2CF32E"/>
    <w:lvl w:ilvl="0" w:tplc="15DE529C">
      <w:start w:val="1"/>
      <w:numFmt w:val="taiwaneseCountingThousand"/>
      <w:lvlText w:val="%1、"/>
      <w:lvlJc w:val="left"/>
      <w:pPr>
        <w:ind w:left="2181" w:hanging="480"/>
      </w:pPr>
    </w:lvl>
    <w:lvl w:ilvl="1" w:tplc="04090019">
      <w:start w:val="1"/>
      <w:numFmt w:val="ideographTraditional"/>
      <w:lvlText w:val="%2、"/>
      <w:lvlJc w:val="left"/>
      <w:pPr>
        <w:ind w:left="2661" w:hanging="480"/>
      </w:pPr>
    </w:lvl>
    <w:lvl w:ilvl="2" w:tplc="0409001B">
      <w:start w:val="1"/>
      <w:numFmt w:val="lowerRoman"/>
      <w:lvlText w:val="%3."/>
      <w:lvlJc w:val="right"/>
      <w:pPr>
        <w:ind w:left="3141" w:hanging="480"/>
      </w:pPr>
    </w:lvl>
    <w:lvl w:ilvl="3" w:tplc="0409000F">
      <w:start w:val="1"/>
      <w:numFmt w:val="decimal"/>
      <w:lvlText w:val="%4."/>
      <w:lvlJc w:val="left"/>
      <w:pPr>
        <w:ind w:left="3621" w:hanging="480"/>
      </w:pPr>
    </w:lvl>
    <w:lvl w:ilvl="4" w:tplc="04090019">
      <w:start w:val="1"/>
      <w:numFmt w:val="ideographTraditional"/>
      <w:lvlText w:val="%5、"/>
      <w:lvlJc w:val="left"/>
      <w:pPr>
        <w:ind w:left="4101" w:hanging="480"/>
      </w:pPr>
    </w:lvl>
    <w:lvl w:ilvl="5" w:tplc="0409001B">
      <w:start w:val="1"/>
      <w:numFmt w:val="lowerRoman"/>
      <w:lvlText w:val="%6."/>
      <w:lvlJc w:val="right"/>
      <w:pPr>
        <w:ind w:left="4581" w:hanging="480"/>
      </w:pPr>
    </w:lvl>
    <w:lvl w:ilvl="6" w:tplc="0409000F">
      <w:start w:val="1"/>
      <w:numFmt w:val="decimal"/>
      <w:lvlText w:val="%7."/>
      <w:lvlJc w:val="left"/>
      <w:pPr>
        <w:ind w:left="5061" w:hanging="480"/>
      </w:pPr>
    </w:lvl>
    <w:lvl w:ilvl="7" w:tplc="04090019">
      <w:start w:val="1"/>
      <w:numFmt w:val="ideographTraditional"/>
      <w:lvlText w:val="%8、"/>
      <w:lvlJc w:val="left"/>
      <w:pPr>
        <w:ind w:left="5541" w:hanging="480"/>
      </w:pPr>
    </w:lvl>
    <w:lvl w:ilvl="8" w:tplc="0409001B">
      <w:start w:val="1"/>
      <w:numFmt w:val="lowerRoman"/>
      <w:lvlText w:val="%9."/>
      <w:lvlJc w:val="right"/>
      <w:pPr>
        <w:ind w:left="6021" w:hanging="480"/>
      </w:pPr>
    </w:lvl>
  </w:abstractNum>
  <w:abstractNum w:abstractNumId="6" w15:restartNumberingAfterBreak="0">
    <w:nsid w:val="78D42B1A"/>
    <w:multiLevelType w:val="hybridMultilevel"/>
    <w:tmpl w:val="65305BAC"/>
    <w:lvl w:ilvl="0" w:tplc="15DE529C">
      <w:start w:val="1"/>
      <w:numFmt w:val="taiwaneseCountingThousand"/>
      <w:lvlText w:val="%1、"/>
      <w:lvlJc w:val="left"/>
      <w:pPr>
        <w:ind w:left="1880" w:hanging="480"/>
      </w:pPr>
    </w:lvl>
    <w:lvl w:ilvl="1" w:tplc="04090019">
      <w:start w:val="1"/>
      <w:numFmt w:val="ideographTraditional"/>
      <w:lvlText w:val="%2、"/>
      <w:lvlJc w:val="left"/>
      <w:pPr>
        <w:ind w:left="2360" w:hanging="480"/>
      </w:pPr>
    </w:lvl>
    <w:lvl w:ilvl="2" w:tplc="0409001B">
      <w:start w:val="1"/>
      <w:numFmt w:val="lowerRoman"/>
      <w:lvlText w:val="%3."/>
      <w:lvlJc w:val="right"/>
      <w:pPr>
        <w:ind w:left="2840" w:hanging="480"/>
      </w:pPr>
    </w:lvl>
    <w:lvl w:ilvl="3" w:tplc="0409000F">
      <w:start w:val="1"/>
      <w:numFmt w:val="decimal"/>
      <w:lvlText w:val="%4."/>
      <w:lvlJc w:val="left"/>
      <w:pPr>
        <w:ind w:left="3320" w:hanging="480"/>
      </w:pPr>
    </w:lvl>
    <w:lvl w:ilvl="4" w:tplc="04090019">
      <w:start w:val="1"/>
      <w:numFmt w:val="ideographTraditional"/>
      <w:lvlText w:val="%5、"/>
      <w:lvlJc w:val="left"/>
      <w:pPr>
        <w:ind w:left="3800" w:hanging="480"/>
      </w:pPr>
    </w:lvl>
    <w:lvl w:ilvl="5" w:tplc="0409001B">
      <w:start w:val="1"/>
      <w:numFmt w:val="lowerRoman"/>
      <w:lvlText w:val="%6."/>
      <w:lvlJc w:val="right"/>
      <w:pPr>
        <w:ind w:left="4280" w:hanging="480"/>
      </w:pPr>
    </w:lvl>
    <w:lvl w:ilvl="6" w:tplc="0409000F">
      <w:start w:val="1"/>
      <w:numFmt w:val="decimal"/>
      <w:lvlText w:val="%7."/>
      <w:lvlJc w:val="left"/>
      <w:pPr>
        <w:ind w:left="4760" w:hanging="480"/>
      </w:pPr>
    </w:lvl>
    <w:lvl w:ilvl="7" w:tplc="04090019">
      <w:start w:val="1"/>
      <w:numFmt w:val="ideographTraditional"/>
      <w:lvlText w:val="%8、"/>
      <w:lvlJc w:val="left"/>
      <w:pPr>
        <w:ind w:left="5240" w:hanging="480"/>
      </w:pPr>
    </w:lvl>
    <w:lvl w:ilvl="8" w:tplc="0409001B">
      <w:start w:val="1"/>
      <w:numFmt w:val="lowerRoman"/>
      <w:lvlText w:val="%9."/>
      <w:lvlJc w:val="right"/>
      <w:pPr>
        <w:ind w:left="57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8B"/>
    <w:rsid w:val="004C6036"/>
    <w:rsid w:val="00B52F45"/>
    <w:rsid w:val="00BD448B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13CBC8-C8C2-40F6-983C-4822D573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F45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2F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2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2F45"/>
    <w:rPr>
      <w:sz w:val="20"/>
      <w:szCs w:val="20"/>
    </w:rPr>
  </w:style>
  <w:style w:type="paragraph" w:styleId="a7">
    <w:name w:val="List Paragraph"/>
    <w:basedOn w:val="a"/>
    <w:qFormat/>
    <w:rsid w:val="00B52F45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世煌 何</dc:creator>
  <cp:keywords/>
  <dc:description/>
  <cp:lastModifiedBy>世煌 何</cp:lastModifiedBy>
  <cp:revision>2</cp:revision>
  <dcterms:created xsi:type="dcterms:W3CDTF">2020-02-12T02:50:00Z</dcterms:created>
  <dcterms:modified xsi:type="dcterms:W3CDTF">2020-02-12T02:50:00Z</dcterms:modified>
</cp:coreProperties>
</file>